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48"/>
          <w:szCs w:val="84"/>
          <w:highlight w:val="none"/>
        </w:rPr>
      </w:pPr>
    </w:p>
    <w:p>
      <w:pPr>
        <w:jc w:val="center"/>
        <w:rPr>
          <w:b/>
          <w:bCs/>
          <w:spacing w:val="20"/>
          <w:sz w:val="48"/>
          <w:szCs w:val="84"/>
          <w:highlight w:val="none"/>
        </w:rPr>
      </w:pPr>
      <w:r>
        <w:rPr>
          <w:b/>
          <w:bCs/>
          <w:spacing w:val="20"/>
          <w:sz w:val="48"/>
          <w:szCs w:val="84"/>
          <w:highlight w:val="none"/>
        </w:rPr>
        <w:t xml:space="preserve">浙江省铁路发展控股集团有限责任公司 </w:t>
      </w:r>
      <w:r>
        <w:rPr>
          <w:rFonts w:hint="eastAsia"/>
          <w:b/>
          <w:bCs/>
          <w:spacing w:val="20"/>
          <w:sz w:val="48"/>
          <w:szCs w:val="84"/>
          <w:highlight w:val="none"/>
          <w:lang w:eastAsia="zh-CN"/>
        </w:rPr>
        <w:t>常年法律顾问</w:t>
      </w:r>
      <w:r>
        <w:rPr>
          <w:b/>
          <w:bCs/>
          <w:spacing w:val="20"/>
          <w:sz w:val="48"/>
          <w:szCs w:val="84"/>
          <w:highlight w:val="none"/>
          <w:lang w:eastAsia="zh-Hans"/>
        </w:rPr>
        <w:t>服务</w:t>
      </w:r>
    </w:p>
    <w:p>
      <w:pPr>
        <w:jc w:val="center"/>
        <w:rPr>
          <w:b/>
          <w:bCs/>
          <w:spacing w:val="20"/>
          <w:sz w:val="48"/>
          <w:szCs w:val="84"/>
          <w:highlight w:val="none"/>
        </w:rPr>
      </w:pPr>
      <w:r>
        <w:rPr>
          <w:b/>
          <w:bCs/>
          <w:spacing w:val="20"/>
          <w:sz w:val="48"/>
          <w:szCs w:val="84"/>
          <w:highlight w:val="none"/>
        </w:rPr>
        <w:t>采购项目</w:t>
      </w:r>
    </w:p>
    <w:p>
      <w:pPr>
        <w:rPr>
          <w:b/>
          <w:bCs/>
          <w:spacing w:val="140"/>
          <w:sz w:val="72"/>
          <w:highlight w:val="none"/>
        </w:rPr>
      </w:pPr>
    </w:p>
    <w:p>
      <w:pPr>
        <w:jc w:val="center"/>
        <w:rPr>
          <w:b/>
          <w:bCs/>
          <w:spacing w:val="140"/>
          <w:sz w:val="72"/>
          <w:highlight w:val="none"/>
        </w:rPr>
      </w:pPr>
    </w:p>
    <w:p>
      <w:pPr>
        <w:jc w:val="center"/>
        <w:rPr>
          <w:b/>
          <w:bCs/>
          <w:spacing w:val="140"/>
          <w:sz w:val="72"/>
          <w:highlight w:val="none"/>
        </w:rPr>
      </w:pPr>
    </w:p>
    <w:p>
      <w:pPr>
        <w:adjustRightInd w:val="0"/>
        <w:snapToGrid w:val="0"/>
        <w:spacing w:line="480" w:lineRule="auto"/>
        <w:ind w:right="361"/>
        <w:jc w:val="center"/>
        <w:rPr>
          <w:sz w:val="72"/>
          <w:szCs w:val="84"/>
          <w:highlight w:val="none"/>
        </w:rPr>
      </w:pPr>
      <w:r>
        <w:rPr>
          <w:b/>
          <w:bCs/>
          <w:sz w:val="72"/>
          <w:szCs w:val="84"/>
          <w:highlight w:val="none"/>
        </w:rPr>
        <w:t>询   比  文  件</w:t>
      </w:r>
    </w:p>
    <w:p>
      <w:pPr>
        <w:rPr>
          <w:b/>
          <w:bCs/>
          <w:sz w:val="24"/>
          <w:highlight w:val="none"/>
        </w:rPr>
      </w:pPr>
    </w:p>
    <w:p>
      <w:pPr>
        <w:ind w:left="1888" w:leftChars="899" w:firstLine="210" w:firstLineChars="87"/>
        <w:rPr>
          <w:b/>
          <w:bCs/>
          <w:sz w:val="24"/>
          <w:highlight w:val="none"/>
        </w:rPr>
      </w:pPr>
    </w:p>
    <w:p>
      <w:pPr>
        <w:spacing w:line="600" w:lineRule="exact"/>
        <w:ind w:firstLine="1800" w:firstLineChars="500"/>
        <w:rPr>
          <w:spacing w:val="30"/>
          <w:sz w:val="30"/>
          <w:szCs w:val="30"/>
          <w:highlight w:val="none"/>
        </w:rPr>
      </w:pPr>
      <w:r>
        <w:rPr>
          <w:spacing w:val="30"/>
          <w:sz w:val="30"/>
          <w:szCs w:val="30"/>
          <w:highlight w:val="none"/>
        </w:rPr>
        <w:t>项 目 编 号：ZTJT-</w:t>
      </w:r>
      <w:r>
        <w:rPr>
          <w:rFonts w:hint="eastAsia"/>
          <w:spacing w:val="30"/>
          <w:sz w:val="30"/>
          <w:szCs w:val="30"/>
          <w:highlight w:val="none"/>
          <w:lang w:val="en-US" w:eastAsia="zh-CN"/>
        </w:rPr>
        <w:t>ZC</w:t>
      </w:r>
      <w:r>
        <w:rPr>
          <w:spacing w:val="30"/>
          <w:sz w:val="30"/>
          <w:szCs w:val="30"/>
          <w:highlight w:val="none"/>
        </w:rPr>
        <w:t>-FW-202200</w:t>
      </w:r>
      <w:r>
        <w:rPr>
          <w:rFonts w:hint="eastAsia"/>
          <w:spacing w:val="30"/>
          <w:sz w:val="30"/>
          <w:szCs w:val="30"/>
          <w:highlight w:val="none"/>
          <w:lang w:val="en-US" w:eastAsia="zh-CN"/>
        </w:rPr>
        <w:t>6</w:t>
      </w:r>
    </w:p>
    <w:p>
      <w:pPr>
        <w:spacing w:line="600" w:lineRule="exact"/>
        <w:ind w:firstLine="1800" w:firstLineChars="500"/>
        <w:rPr>
          <w:spacing w:val="40"/>
          <w:sz w:val="30"/>
          <w:szCs w:val="30"/>
          <w:highlight w:val="none"/>
        </w:rPr>
      </w:pPr>
      <w:r>
        <w:rPr>
          <w:spacing w:val="30"/>
          <w:sz w:val="30"/>
          <w:szCs w:val="30"/>
          <w:highlight w:val="none"/>
        </w:rPr>
        <w:t>采 购 方 式：询比采购</w:t>
      </w:r>
    </w:p>
    <w:p>
      <w:pPr>
        <w:spacing w:line="220" w:lineRule="exact"/>
        <w:ind w:firstLine="1140" w:firstLineChars="300"/>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pStyle w:val="2"/>
        <w:ind w:firstLine="0" w:firstLineChars="0"/>
        <w:rPr>
          <w:rFonts w:ascii="Times New Roman" w:hAnsi="Times New Roman"/>
          <w:highlight w:val="none"/>
        </w:rPr>
      </w:pPr>
    </w:p>
    <w:p>
      <w:pPr>
        <w:pStyle w:val="2"/>
        <w:ind w:firstLine="210"/>
        <w:rPr>
          <w:rFonts w:ascii="Times New Roman" w:hAnsi="Times New Roman"/>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220" w:lineRule="exact"/>
        <w:rPr>
          <w:spacing w:val="40"/>
          <w:sz w:val="30"/>
          <w:szCs w:val="30"/>
          <w:highlight w:val="none"/>
        </w:rPr>
      </w:pPr>
    </w:p>
    <w:p>
      <w:pPr>
        <w:spacing w:line="600" w:lineRule="exact"/>
        <w:jc w:val="center"/>
        <w:rPr>
          <w:b/>
          <w:spacing w:val="40"/>
          <w:sz w:val="30"/>
          <w:highlight w:val="none"/>
        </w:rPr>
      </w:pPr>
      <w:r>
        <w:rPr>
          <w:b/>
          <w:spacing w:val="20"/>
          <w:sz w:val="30"/>
          <w:highlight w:val="none"/>
        </w:rPr>
        <w:t>采购人：</w:t>
      </w:r>
      <w:r>
        <w:rPr>
          <w:b/>
          <w:sz w:val="30"/>
          <w:highlight w:val="none"/>
        </w:rPr>
        <w:t>浙江省铁路发展控股集团有限责任公司</w:t>
      </w:r>
    </w:p>
    <w:p>
      <w:pPr>
        <w:jc w:val="center"/>
        <w:rPr>
          <w:rFonts w:eastAsia="黑体"/>
          <w:sz w:val="32"/>
          <w:szCs w:val="32"/>
          <w:highlight w:val="none"/>
        </w:rPr>
      </w:pPr>
      <w:r>
        <w:rPr>
          <w:b/>
          <w:spacing w:val="40"/>
          <w:sz w:val="30"/>
          <w:szCs w:val="30"/>
          <w:highlight w:val="none"/>
        </w:rPr>
        <w:t>二〇二二年</w:t>
      </w:r>
      <w:r>
        <w:rPr>
          <w:rFonts w:hint="eastAsia"/>
          <w:b/>
          <w:spacing w:val="40"/>
          <w:sz w:val="30"/>
          <w:szCs w:val="30"/>
          <w:highlight w:val="none"/>
          <w:lang w:eastAsia="zh-CN"/>
        </w:rPr>
        <w:t>七</w:t>
      </w:r>
      <w:r>
        <w:rPr>
          <w:b/>
          <w:spacing w:val="40"/>
          <w:sz w:val="30"/>
          <w:szCs w:val="30"/>
          <w:highlight w:val="none"/>
        </w:rPr>
        <w:t>月</w:t>
      </w:r>
      <w:bookmarkStart w:id="0" w:name="_Toc103178514"/>
      <w:r>
        <w:rPr>
          <w:rFonts w:eastAsia="黑体"/>
          <w:sz w:val="32"/>
          <w:szCs w:val="32"/>
          <w:highlight w:val="none"/>
        </w:rPr>
        <w:br w:type="page"/>
      </w:r>
    </w:p>
    <w:p>
      <w:pPr>
        <w:jc w:val="center"/>
        <w:outlineLvl w:val="0"/>
        <w:rPr>
          <w:rFonts w:eastAsia="黑体"/>
          <w:sz w:val="32"/>
          <w:szCs w:val="32"/>
          <w:highlight w:val="none"/>
        </w:rPr>
      </w:pPr>
      <w:r>
        <w:rPr>
          <w:rFonts w:eastAsia="黑体"/>
          <w:sz w:val="32"/>
          <w:szCs w:val="32"/>
          <w:highlight w:val="none"/>
        </w:rPr>
        <w:t>第一章 采购公告</w:t>
      </w:r>
      <w:bookmarkEnd w:id="0"/>
    </w:p>
    <w:p>
      <w:pPr>
        <w:jc w:val="center"/>
        <w:rPr>
          <w:rFonts w:eastAsia="黑体"/>
          <w:spacing w:val="-16"/>
          <w:sz w:val="30"/>
          <w:szCs w:val="30"/>
          <w:highlight w:val="none"/>
        </w:rPr>
      </w:pPr>
      <w:r>
        <w:rPr>
          <w:rFonts w:eastAsia="黑体"/>
          <w:spacing w:val="-16"/>
          <w:sz w:val="30"/>
          <w:szCs w:val="30"/>
          <w:highlight w:val="none"/>
        </w:rPr>
        <w:t>浙江省铁路发展控股集团有限责任公司</w:t>
      </w:r>
      <w:r>
        <w:rPr>
          <w:rFonts w:hint="eastAsia" w:eastAsia="黑体"/>
          <w:spacing w:val="-16"/>
          <w:sz w:val="30"/>
          <w:szCs w:val="30"/>
          <w:highlight w:val="none"/>
          <w:lang w:eastAsia="zh-CN"/>
        </w:rPr>
        <w:t>常年法律顾问服务</w:t>
      </w:r>
      <w:r>
        <w:rPr>
          <w:rFonts w:eastAsia="黑体"/>
          <w:spacing w:val="-16"/>
          <w:sz w:val="30"/>
          <w:szCs w:val="30"/>
          <w:highlight w:val="none"/>
        </w:rPr>
        <w:t>项目</w:t>
      </w:r>
    </w:p>
    <w:p>
      <w:pPr>
        <w:jc w:val="center"/>
        <w:rPr>
          <w:rFonts w:eastAsia="黑体"/>
          <w:spacing w:val="20"/>
          <w:sz w:val="30"/>
          <w:szCs w:val="30"/>
          <w:highlight w:val="none"/>
        </w:rPr>
      </w:pPr>
      <w:r>
        <w:rPr>
          <w:rFonts w:eastAsia="黑体"/>
          <w:spacing w:val="20"/>
          <w:sz w:val="30"/>
          <w:szCs w:val="30"/>
          <w:highlight w:val="none"/>
        </w:rPr>
        <w:t>询比采购公告</w:t>
      </w:r>
    </w:p>
    <w:p>
      <w:pPr>
        <w:spacing w:line="400" w:lineRule="exact"/>
        <w:ind w:firstLine="420" w:firstLineChars="200"/>
        <w:rPr>
          <w:rFonts w:eastAsiaTheme="minorEastAsia"/>
          <w:szCs w:val="21"/>
          <w:highlight w:val="none"/>
        </w:rPr>
      </w:pPr>
      <w:r>
        <w:rPr>
          <w:rFonts w:eastAsiaTheme="minorEastAsia"/>
          <w:szCs w:val="21"/>
          <w:highlight w:val="none"/>
        </w:rPr>
        <w:t>根据我单位采购计划安排，现拟采用询比方式购买</w:t>
      </w:r>
      <w:r>
        <w:rPr>
          <w:rFonts w:eastAsiaTheme="minorEastAsia"/>
          <w:szCs w:val="21"/>
          <w:highlight w:val="none"/>
          <w:u w:val="single"/>
        </w:rPr>
        <w:t>浙江省铁路发展控股集团有限责任公司</w:t>
      </w:r>
      <w:r>
        <w:rPr>
          <w:rFonts w:hint="eastAsia" w:eastAsiaTheme="minorEastAsia"/>
          <w:szCs w:val="21"/>
          <w:highlight w:val="none"/>
          <w:u w:val="single"/>
          <w:lang w:eastAsia="zh-CN"/>
        </w:rPr>
        <w:t>常年法律顾问</w:t>
      </w:r>
      <w:r>
        <w:rPr>
          <w:rFonts w:eastAsiaTheme="minorEastAsia"/>
          <w:szCs w:val="21"/>
          <w:highlight w:val="none"/>
          <w:u w:val="single"/>
          <w:lang w:eastAsia="zh-Hans"/>
        </w:rPr>
        <w:t>服务</w:t>
      </w:r>
      <w:r>
        <w:rPr>
          <w:rFonts w:eastAsiaTheme="minorEastAsia"/>
          <w:szCs w:val="21"/>
          <w:highlight w:val="none"/>
        </w:rPr>
        <w:t>，欢迎合格的供应商前来报价。</w:t>
      </w:r>
    </w:p>
    <w:p>
      <w:pPr>
        <w:spacing w:before="156" w:beforeLines="50" w:after="156" w:afterLines="50" w:line="400" w:lineRule="exact"/>
        <w:outlineLvl w:val="1"/>
        <w:rPr>
          <w:rFonts w:eastAsia="黑体"/>
          <w:sz w:val="28"/>
          <w:szCs w:val="28"/>
          <w:highlight w:val="none"/>
        </w:rPr>
      </w:pPr>
      <w:bookmarkStart w:id="1" w:name="_Toc103178515"/>
      <w:r>
        <w:rPr>
          <w:rFonts w:eastAsia="黑体"/>
          <w:sz w:val="28"/>
          <w:szCs w:val="28"/>
          <w:highlight w:val="none"/>
        </w:rPr>
        <w:t>1.项目概况及采购内容</w:t>
      </w:r>
      <w:bookmarkEnd w:id="1"/>
    </w:p>
    <w:p>
      <w:pPr>
        <w:spacing w:line="400" w:lineRule="exact"/>
        <w:ind w:firstLine="420" w:firstLineChars="200"/>
        <w:rPr>
          <w:rFonts w:eastAsiaTheme="minorEastAsia"/>
          <w:szCs w:val="21"/>
          <w:highlight w:val="none"/>
        </w:rPr>
      </w:pPr>
      <w:r>
        <w:rPr>
          <w:rFonts w:eastAsiaTheme="minorEastAsia"/>
          <w:szCs w:val="21"/>
          <w:highlight w:val="none"/>
        </w:rPr>
        <w:t>1.1采购人：浙江省铁路发展控股集团有限责任公司</w:t>
      </w:r>
    </w:p>
    <w:p>
      <w:pPr>
        <w:spacing w:line="400" w:lineRule="exact"/>
        <w:ind w:firstLine="420" w:firstLineChars="200"/>
        <w:rPr>
          <w:rFonts w:eastAsiaTheme="minorEastAsia"/>
          <w:szCs w:val="21"/>
          <w:highlight w:val="none"/>
        </w:rPr>
      </w:pPr>
      <w:r>
        <w:rPr>
          <w:rFonts w:eastAsiaTheme="minorEastAsia"/>
          <w:szCs w:val="21"/>
          <w:highlight w:val="none"/>
        </w:rPr>
        <w:t>1.2采购内容</w:t>
      </w:r>
      <w:r>
        <w:rPr>
          <w:rFonts w:hint="eastAsia" w:eastAsiaTheme="minorEastAsia"/>
          <w:szCs w:val="21"/>
          <w:highlight w:val="none"/>
          <w:lang w:eastAsia="zh-CN"/>
        </w:rPr>
        <w:t>：浙江省铁路发展控股集团有限责任公司以及九景衢铁路浙江有限公司常年法律顾问服务内容</w:t>
      </w:r>
      <w:r>
        <w:rPr>
          <w:rFonts w:eastAsiaTheme="minorEastAsia"/>
          <w:szCs w:val="21"/>
          <w:highlight w:val="none"/>
        </w:rPr>
        <w:t>包括但不限于以下内容</w:t>
      </w:r>
      <w:r>
        <w:rPr>
          <w:rFonts w:hint="eastAsia" w:eastAsiaTheme="minorEastAsia"/>
          <w:szCs w:val="21"/>
          <w:highlight w:val="none"/>
          <w:lang w:eastAsia="zh-CN"/>
        </w:rPr>
        <w:t>（详细内容见采购文件）</w:t>
      </w:r>
      <w:r>
        <w:rPr>
          <w:rFonts w:eastAsiaTheme="minorEastAsia"/>
          <w:szCs w:val="21"/>
          <w:highlight w:val="none"/>
        </w:rPr>
        <w:t>：</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（1）参与我单位经营决策；</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（2）重大事项进行法律事务论证；</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（3）合同及规章制度管理服务；</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（4）纠纷处理；</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（5）业务磋商及现场服务；</w:t>
      </w:r>
    </w:p>
    <w:p>
      <w:pPr>
        <w:spacing w:line="400" w:lineRule="exact"/>
        <w:ind w:firstLine="420" w:firstLineChars="200"/>
        <w:rPr>
          <w:rFonts w:hint="eastAsia" w:eastAsiaTheme="minorEastAsia"/>
          <w:szCs w:val="21"/>
          <w:highlight w:val="none"/>
          <w:lang w:eastAsia="zh-CN"/>
        </w:rPr>
      </w:pPr>
      <w:r>
        <w:rPr>
          <w:rFonts w:hint="eastAsia" w:eastAsiaTheme="minorEastAsia"/>
          <w:szCs w:val="21"/>
          <w:highlight w:val="none"/>
          <w:lang w:eastAsia="zh-CN"/>
        </w:rPr>
        <w:t>（</w:t>
      </w:r>
      <w:r>
        <w:rPr>
          <w:rFonts w:hint="eastAsia" w:eastAsiaTheme="minorEastAsia"/>
          <w:szCs w:val="21"/>
          <w:highlight w:val="none"/>
          <w:lang w:val="en-US" w:eastAsia="zh-CN"/>
        </w:rPr>
        <w:t>6</w:t>
      </w:r>
      <w:r>
        <w:rPr>
          <w:rFonts w:hint="eastAsia" w:eastAsiaTheme="minorEastAsia"/>
          <w:szCs w:val="21"/>
          <w:highlight w:val="none"/>
          <w:lang w:eastAsia="zh-CN"/>
        </w:rPr>
        <w:t>）协同处理突发事件危机公关；</w:t>
      </w:r>
    </w:p>
    <w:p>
      <w:pPr>
        <w:spacing w:line="400" w:lineRule="exact"/>
        <w:ind w:firstLine="420" w:firstLineChars="200"/>
        <w:rPr>
          <w:rFonts w:hint="eastAsia" w:eastAsiaTheme="minorEastAsia"/>
          <w:szCs w:val="21"/>
          <w:highlight w:val="none"/>
          <w:lang w:eastAsia="zh-CN"/>
        </w:rPr>
      </w:pPr>
      <w:r>
        <w:rPr>
          <w:rFonts w:hint="eastAsia" w:eastAsiaTheme="minorEastAsia"/>
          <w:szCs w:val="21"/>
          <w:highlight w:val="none"/>
          <w:lang w:eastAsia="zh-CN"/>
        </w:rPr>
        <w:t>（</w:t>
      </w:r>
      <w:r>
        <w:rPr>
          <w:rFonts w:hint="eastAsia" w:eastAsiaTheme="minorEastAsia"/>
          <w:szCs w:val="21"/>
          <w:highlight w:val="none"/>
          <w:lang w:val="en-US" w:eastAsia="zh-CN"/>
        </w:rPr>
        <w:t>7</w:t>
      </w:r>
      <w:r>
        <w:rPr>
          <w:rFonts w:hint="eastAsia" w:eastAsiaTheme="minorEastAsia"/>
          <w:szCs w:val="21"/>
          <w:highlight w:val="none"/>
          <w:lang w:eastAsia="zh-CN"/>
        </w:rPr>
        <w:t>）公司治理及风险管理服务；</w:t>
      </w:r>
    </w:p>
    <w:p>
      <w:pPr>
        <w:spacing w:line="400" w:lineRule="exact"/>
        <w:ind w:firstLine="420" w:firstLineChars="200"/>
        <w:rPr>
          <w:rFonts w:hint="eastAsia" w:eastAsiaTheme="minorEastAsia"/>
          <w:szCs w:val="21"/>
          <w:highlight w:val="none"/>
          <w:lang w:eastAsia="zh-CN"/>
        </w:rPr>
      </w:pPr>
      <w:r>
        <w:rPr>
          <w:rFonts w:hint="eastAsia" w:eastAsiaTheme="minorEastAsia"/>
          <w:szCs w:val="21"/>
          <w:highlight w:val="none"/>
          <w:lang w:eastAsia="zh-CN"/>
        </w:rPr>
        <w:t>（</w:t>
      </w:r>
      <w:r>
        <w:rPr>
          <w:rFonts w:hint="eastAsia" w:eastAsiaTheme="minorEastAsia"/>
          <w:szCs w:val="21"/>
          <w:highlight w:val="none"/>
          <w:lang w:val="en-US" w:eastAsia="zh-CN"/>
        </w:rPr>
        <w:t>8</w:t>
      </w:r>
      <w:r>
        <w:rPr>
          <w:rFonts w:hint="eastAsia" w:eastAsiaTheme="minorEastAsia"/>
          <w:szCs w:val="21"/>
          <w:highlight w:val="none"/>
          <w:lang w:eastAsia="zh-CN"/>
        </w:rPr>
        <w:t>）其他日常法律事务。</w:t>
      </w:r>
    </w:p>
    <w:p>
      <w:pPr>
        <w:spacing w:line="400" w:lineRule="exact"/>
        <w:ind w:firstLine="420" w:firstLineChars="200"/>
        <w:rPr>
          <w:rFonts w:eastAsiaTheme="minorEastAsia"/>
          <w:szCs w:val="21"/>
          <w:highlight w:val="none"/>
        </w:rPr>
      </w:pPr>
      <w:r>
        <w:rPr>
          <w:rFonts w:eastAsiaTheme="minorEastAsia"/>
          <w:szCs w:val="21"/>
          <w:highlight w:val="none"/>
        </w:rPr>
        <w:t>1.3采购预算：</w:t>
      </w:r>
      <w:r>
        <w:rPr>
          <w:rFonts w:hint="eastAsia" w:eastAsiaTheme="minorEastAsia"/>
          <w:szCs w:val="21"/>
          <w:highlight w:val="none"/>
          <w:lang w:val="en-US" w:eastAsia="zh-CN"/>
        </w:rPr>
        <w:t>9</w:t>
      </w:r>
      <w:r>
        <w:rPr>
          <w:rFonts w:eastAsiaTheme="minorEastAsia"/>
          <w:szCs w:val="21"/>
          <w:highlight w:val="none"/>
        </w:rPr>
        <w:t>万元</w:t>
      </w:r>
      <w:r>
        <w:rPr>
          <w:rFonts w:hint="eastAsia" w:eastAsiaTheme="minorEastAsia"/>
          <w:szCs w:val="21"/>
          <w:highlight w:val="none"/>
          <w:lang w:val="en-US" w:eastAsia="zh-CN"/>
        </w:rPr>
        <w:t>/年</w:t>
      </w:r>
      <w:r>
        <w:rPr>
          <w:rFonts w:hint="eastAsia" w:eastAsiaTheme="minorEastAsia"/>
          <w:szCs w:val="21"/>
          <w:highlight w:val="none"/>
          <w:lang w:eastAsia="zh-CN"/>
        </w:rPr>
        <w:t>，合同限期内我单位如有本项目采购内容以外的特别法律服务需求，视具体法律事务难易程度结合市场行情另行协商定价</w:t>
      </w:r>
      <w:r>
        <w:rPr>
          <w:rFonts w:eastAsiaTheme="minorEastAsia"/>
          <w:szCs w:val="21"/>
          <w:highlight w:val="none"/>
        </w:rPr>
        <w:t>。</w:t>
      </w:r>
    </w:p>
    <w:p>
      <w:pPr>
        <w:spacing w:line="400" w:lineRule="exact"/>
        <w:ind w:firstLine="420" w:firstLineChars="200"/>
        <w:rPr>
          <w:rFonts w:eastAsiaTheme="minorEastAsia"/>
          <w:szCs w:val="21"/>
          <w:highlight w:val="none"/>
        </w:rPr>
      </w:pPr>
      <w:r>
        <w:rPr>
          <w:rFonts w:eastAsiaTheme="minorEastAsia"/>
          <w:szCs w:val="21"/>
          <w:highlight w:val="none"/>
        </w:rPr>
        <w:t>1.4计划服务期：</w:t>
      </w:r>
      <w:r>
        <w:rPr>
          <w:rFonts w:hint="eastAsia" w:eastAsiaTheme="minorEastAsia"/>
          <w:szCs w:val="21"/>
          <w:highlight w:val="none"/>
          <w:lang w:eastAsia="zh-CN"/>
        </w:rPr>
        <w:t>服务时间</w:t>
      </w:r>
      <w:r>
        <w:rPr>
          <w:rFonts w:hint="eastAsia" w:eastAsiaTheme="minorEastAsia"/>
          <w:szCs w:val="21"/>
          <w:highlight w:val="none"/>
          <w:lang w:val="en-US" w:eastAsia="zh-CN"/>
        </w:rPr>
        <w:t>2年，服务起止时间以项目合同为准，服务优秀供应商可在不提高费用的前提下续签一次，续签期限1-2年</w:t>
      </w:r>
      <w:r>
        <w:rPr>
          <w:rFonts w:eastAsiaTheme="minorEastAsia"/>
          <w:szCs w:val="21"/>
          <w:highlight w:val="none"/>
        </w:rPr>
        <w:t>。</w:t>
      </w:r>
    </w:p>
    <w:p>
      <w:pPr>
        <w:spacing w:line="400" w:lineRule="exact"/>
        <w:ind w:firstLine="420" w:firstLineChars="200"/>
        <w:rPr>
          <w:rFonts w:eastAsiaTheme="minorEastAsia"/>
          <w:szCs w:val="21"/>
          <w:highlight w:val="none"/>
        </w:rPr>
      </w:pPr>
      <w:r>
        <w:rPr>
          <w:rFonts w:eastAsiaTheme="minorEastAsia"/>
          <w:szCs w:val="21"/>
          <w:highlight w:val="none"/>
        </w:rPr>
        <w:t>1.5</w:t>
      </w:r>
      <w:r>
        <w:rPr>
          <w:rFonts w:hint="eastAsia" w:eastAsiaTheme="minorEastAsia"/>
          <w:szCs w:val="21"/>
          <w:highlight w:val="none"/>
          <w:lang w:eastAsia="zh-CN"/>
        </w:rPr>
        <w:t>服务范围</w:t>
      </w:r>
      <w:r>
        <w:rPr>
          <w:rFonts w:eastAsiaTheme="minorEastAsia"/>
          <w:szCs w:val="21"/>
          <w:highlight w:val="none"/>
        </w:rPr>
        <w:t>：</w:t>
      </w:r>
      <w:r>
        <w:rPr>
          <w:rFonts w:hint="eastAsia" w:eastAsiaTheme="minorEastAsia"/>
          <w:szCs w:val="21"/>
          <w:highlight w:val="none"/>
          <w:lang w:eastAsia="zh-CN"/>
        </w:rPr>
        <w:t>本项目主要服务我单位总部以及九景衢铁路浙江有限公司相关法律事项，但因我单位为集团性公司，供应商需协同我单位总部处理下属子公司提交总部决策的相关重大法律事务，出具法律意见，协调指导下属公司的法律风险防范</w:t>
      </w:r>
      <w:r>
        <w:rPr>
          <w:rFonts w:eastAsiaTheme="minorEastAsia"/>
          <w:szCs w:val="21"/>
          <w:highlight w:val="none"/>
        </w:rPr>
        <w:t>。</w:t>
      </w:r>
    </w:p>
    <w:p>
      <w:pPr>
        <w:spacing w:before="156" w:beforeLines="50" w:after="156" w:afterLines="50" w:line="400" w:lineRule="exact"/>
        <w:outlineLvl w:val="1"/>
        <w:rPr>
          <w:rFonts w:eastAsia="黑体"/>
          <w:sz w:val="28"/>
          <w:szCs w:val="28"/>
          <w:highlight w:val="none"/>
        </w:rPr>
      </w:pPr>
      <w:bookmarkStart w:id="2" w:name="_Toc103178516"/>
      <w:r>
        <w:rPr>
          <w:rFonts w:eastAsia="黑体"/>
          <w:sz w:val="28"/>
          <w:szCs w:val="28"/>
          <w:highlight w:val="none"/>
        </w:rPr>
        <w:t>2.供应商资格要求</w:t>
      </w:r>
      <w:bookmarkEnd w:id="2"/>
    </w:p>
    <w:p>
      <w:pPr>
        <w:spacing w:line="400" w:lineRule="exact"/>
        <w:ind w:firstLine="420" w:firstLineChars="200"/>
        <w:rPr>
          <w:rFonts w:hint="eastAsia" w:eastAsiaTheme="minorEastAsia"/>
          <w:szCs w:val="21"/>
          <w:highlight w:val="none"/>
          <w:lang w:eastAsia="zh-CN"/>
        </w:rPr>
      </w:pPr>
      <w:r>
        <w:rPr>
          <w:rFonts w:hint="eastAsia" w:eastAsiaTheme="minorEastAsia"/>
          <w:szCs w:val="21"/>
          <w:highlight w:val="none"/>
          <w:lang w:eastAsia="zh-CN"/>
        </w:rPr>
        <w:t>2.1供应商具有企业投融资、资产重组、改革改制、国有资产处置等工作经验（附合同扫描件）</w:t>
      </w:r>
      <w:r>
        <w:rPr>
          <w:rFonts w:hint="eastAsia" w:eastAsiaTheme="minorEastAsia"/>
          <w:szCs w:val="21"/>
          <w:highlight w:val="none"/>
          <w:lang w:val="en-US" w:eastAsia="zh-CN"/>
        </w:rPr>
        <w:t>;</w:t>
      </w:r>
    </w:p>
    <w:p>
      <w:pPr>
        <w:spacing w:line="400" w:lineRule="exact"/>
        <w:ind w:firstLine="420" w:firstLineChars="200"/>
        <w:rPr>
          <w:rFonts w:hint="eastAsia" w:eastAsiaTheme="minorEastAsia"/>
          <w:szCs w:val="21"/>
          <w:highlight w:val="none"/>
          <w:lang w:eastAsia="zh-CN"/>
        </w:rPr>
      </w:pPr>
      <w:r>
        <w:rPr>
          <w:rFonts w:hint="eastAsia" w:eastAsiaTheme="minorEastAsia"/>
          <w:szCs w:val="21"/>
          <w:highlight w:val="none"/>
          <w:lang w:eastAsia="zh-CN"/>
        </w:rPr>
        <w:t>2.2应为在中华人民共和国境内合法设立并有效存续的律所，注册住所地在杭州市区（含分支机构）；</w:t>
      </w:r>
    </w:p>
    <w:p>
      <w:pPr>
        <w:spacing w:line="400" w:lineRule="exact"/>
        <w:ind w:firstLine="420" w:firstLineChars="200"/>
        <w:rPr>
          <w:rFonts w:hint="eastAsia" w:eastAsiaTheme="minorEastAsia"/>
          <w:szCs w:val="21"/>
          <w:highlight w:val="none"/>
          <w:lang w:val="en-US" w:eastAsia="zh-CN"/>
        </w:rPr>
      </w:pPr>
      <w:r>
        <w:rPr>
          <w:rFonts w:hint="eastAsia" w:eastAsiaTheme="minorEastAsia"/>
          <w:szCs w:val="21"/>
          <w:highlight w:val="none"/>
          <w:lang w:val="en-US" w:eastAsia="zh-CN"/>
        </w:rPr>
        <w:t>2.3有30名（含）以上执业律师（不含兼职律师）；（提供响应截止时间近三个月内的单位社保参保证明缴纳明细或者律师协会截图）；</w:t>
      </w:r>
    </w:p>
    <w:p>
      <w:pPr>
        <w:spacing w:line="400" w:lineRule="exact"/>
        <w:ind w:firstLine="420" w:firstLineChars="200"/>
        <w:rPr>
          <w:szCs w:val="21"/>
          <w:highlight w:val="none"/>
        </w:rPr>
      </w:pPr>
      <w:r>
        <w:rPr>
          <w:rFonts w:eastAsiaTheme="minorEastAsia"/>
          <w:szCs w:val="21"/>
          <w:highlight w:val="none"/>
        </w:rPr>
        <w:t>2.</w:t>
      </w:r>
      <w:r>
        <w:rPr>
          <w:rFonts w:hint="eastAsia" w:eastAsiaTheme="minorEastAsia"/>
          <w:szCs w:val="21"/>
          <w:highlight w:val="none"/>
          <w:lang w:val="en-US" w:eastAsia="zh-CN"/>
        </w:rPr>
        <w:t>4</w:t>
      </w:r>
      <w:r>
        <w:rPr>
          <w:rFonts w:eastAsiaTheme="minorEastAsia"/>
          <w:b/>
          <w:bCs/>
          <w:szCs w:val="21"/>
          <w:highlight w:val="none"/>
        </w:rPr>
        <w:t>信用要求：</w:t>
      </w:r>
      <w:r>
        <w:rPr>
          <w:rFonts w:eastAsiaTheme="minorEastAsia"/>
          <w:szCs w:val="21"/>
          <w:highlight w:val="none"/>
        </w:rPr>
        <w:t>至本项目响应截止时间止未列入失信被执行人、重大税收违法案件当事人名单。（提供“信用中国”网站（www.creditchina.gov.cn）查询结果截图）</w:t>
      </w:r>
      <w:r>
        <w:rPr>
          <w:szCs w:val="21"/>
          <w:highlight w:val="none"/>
        </w:rPr>
        <w:t>（</w:t>
      </w:r>
      <w:r>
        <w:rPr>
          <w:b/>
          <w:szCs w:val="21"/>
          <w:highlight w:val="none"/>
        </w:rPr>
        <w:t>响应人须如实作出承诺，最终以评审小组现场查询结果为准。</w:t>
      </w:r>
      <w:r>
        <w:rPr>
          <w:szCs w:val="21"/>
          <w:highlight w:val="none"/>
        </w:rPr>
        <w:t>）</w:t>
      </w:r>
    </w:p>
    <w:p>
      <w:pPr>
        <w:spacing w:line="400" w:lineRule="exact"/>
        <w:ind w:firstLine="420" w:firstLineChars="200"/>
        <w:rPr>
          <w:szCs w:val="21"/>
          <w:highlight w:val="none"/>
        </w:rPr>
      </w:pPr>
      <w:r>
        <w:rPr>
          <w:rFonts w:eastAsiaTheme="minorEastAsia"/>
          <w:szCs w:val="21"/>
          <w:highlight w:val="none"/>
        </w:rPr>
        <w:t>2.</w:t>
      </w:r>
      <w:r>
        <w:rPr>
          <w:rFonts w:hint="eastAsia" w:eastAsiaTheme="minorEastAsia"/>
          <w:szCs w:val="21"/>
          <w:highlight w:val="none"/>
          <w:lang w:val="en-US" w:eastAsia="zh-CN"/>
        </w:rPr>
        <w:t>5</w:t>
      </w:r>
      <w:r>
        <w:rPr>
          <w:b/>
          <w:szCs w:val="21"/>
          <w:highlight w:val="none"/>
        </w:rPr>
        <w:t>信誉要求</w:t>
      </w:r>
      <w:r>
        <w:rPr>
          <w:szCs w:val="21"/>
          <w:highlight w:val="none"/>
        </w:rPr>
        <w:t>：截止本项目采购公告发布之日止，响应人必须具有良好的信誉，未处于被责令停业，响应资格被取消，财产被接管、冻结、破产状态；在最近三年内没有骗取中标和严重违约引起的合同中止、纠纷、争议、仲裁和诉讼记录等情况（</w:t>
      </w:r>
      <w:r>
        <w:rPr>
          <w:b/>
          <w:szCs w:val="21"/>
          <w:highlight w:val="none"/>
        </w:rPr>
        <w:t>响应人须如实作出承诺</w:t>
      </w:r>
      <w:r>
        <w:rPr>
          <w:szCs w:val="21"/>
          <w:highlight w:val="none"/>
        </w:rPr>
        <w:t>）。</w:t>
      </w:r>
    </w:p>
    <w:p>
      <w:pPr>
        <w:spacing w:line="400" w:lineRule="exact"/>
        <w:ind w:firstLine="420" w:firstLineChars="200"/>
        <w:rPr>
          <w:rFonts w:eastAsiaTheme="minorEastAsia"/>
          <w:szCs w:val="21"/>
          <w:highlight w:val="none"/>
        </w:rPr>
      </w:pPr>
      <w:r>
        <w:rPr>
          <w:rFonts w:eastAsiaTheme="minorEastAsia"/>
          <w:szCs w:val="21"/>
          <w:highlight w:val="none"/>
        </w:rPr>
        <w:t>2.</w:t>
      </w:r>
      <w:r>
        <w:rPr>
          <w:rFonts w:hint="eastAsia" w:eastAsiaTheme="minorEastAsia"/>
          <w:szCs w:val="21"/>
          <w:highlight w:val="none"/>
          <w:lang w:val="en-US" w:eastAsia="zh-CN"/>
        </w:rPr>
        <w:t>6</w:t>
      </w:r>
      <w:r>
        <w:rPr>
          <w:szCs w:val="21"/>
          <w:highlight w:val="none"/>
        </w:rPr>
        <w:t>本次</w:t>
      </w:r>
      <w:r>
        <w:rPr>
          <w:rFonts w:hint="eastAsia"/>
          <w:szCs w:val="21"/>
          <w:highlight w:val="none"/>
        </w:rPr>
        <w:t>询比</w:t>
      </w:r>
      <w:r>
        <w:rPr>
          <w:szCs w:val="21"/>
          <w:highlight w:val="none"/>
        </w:rPr>
        <w:t>采购不接受任何形式联合体响应，不得转包。</w:t>
      </w:r>
    </w:p>
    <w:p>
      <w:pPr>
        <w:spacing w:before="156" w:beforeLines="50" w:after="156" w:afterLines="50" w:line="400" w:lineRule="exact"/>
        <w:outlineLvl w:val="1"/>
        <w:rPr>
          <w:rFonts w:eastAsia="黑体"/>
          <w:sz w:val="28"/>
          <w:szCs w:val="28"/>
          <w:highlight w:val="none"/>
        </w:rPr>
      </w:pPr>
      <w:bookmarkStart w:id="3" w:name="_Toc103178517"/>
      <w:r>
        <w:rPr>
          <w:rFonts w:eastAsia="黑体"/>
          <w:sz w:val="28"/>
          <w:szCs w:val="28"/>
          <w:highlight w:val="none"/>
        </w:rPr>
        <w:t>3.采购文件获取</w:t>
      </w:r>
      <w:bookmarkEnd w:id="3"/>
    </w:p>
    <w:p>
      <w:pPr>
        <w:spacing w:line="400" w:lineRule="exact"/>
        <w:ind w:firstLine="420" w:firstLineChars="200"/>
        <w:rPr>
          <w:highlight w:val="none"/>
        </w:rPr>
      </w:pPr>
      <w:r>
        <w:rPr>
          <w:rFonts w:eastAsiaTheme="minorEastAsia"/>
          <w:szCs w:val="21"/>
          <w:highlight w:val="none"/>
        </w:rPr>
        <w:t>3.1</w:t>
      </w:r>
      <w:r>
        <w:rPr>
          <w:rFonts w:hint="eastAsia" w:eastAsiaTheme="minorEastAsia"/>
          <w:szCs w:val="21"/>
          <w:highlight w:val="none"/>
          <w:lang w:eastAsia="zh-CN"/>
        </w:rPr>
        <w:t>发售时间：</w:t>
      </w:r>
      <w:r>
        <w:rPr>
          <w:rFonts w:hint="eastAsia" w:eastAsiaTheme="minorEastAsia"/>
          <w:szCs w:val="21"/>
          <w:highlight w:val="none"/>
          <w:lang w:val="en-US" w:eastAsia="zh-CN"/>
        </w:rPr>
        <w:t>2022年 7 月 13 日至2022年 7 月 16 日。</w:t>
      </w:r>
    </w:p>
    <w:p>
      <w:pPr>
        <w:spacing w:before="156" w:beforeLines="50" w:after="156" w:afterLines="50" w:line="400" w:lineRule="exact"/>
        <w:outlineLvl w:val="1"/>
        <w:rPr>
          <w:rFonts w:eastAsia="黑体"/>
          <w:sz w:val="28"/>
          <w:szCs w:val="28"/>
          <w:highlight w:val="none"/>
        </w:rPr>
      </w:pPr>
      <w:bookmarkStart w:id="4" w:name="_Toc103178518"/>
      <w:r>
        <w:rPr>
          <w:rFonts w:eastAsia="黑体"/>
          <w:sz w:val="28"/>
          <w:szCs w:val="28"/>
          <w:highlight w:val="none"/>
        </w:rPr>
        <w:t>4.响应文件提交</w:t>
      </w:r>
      <w:bookmarkEnd w:id="4"/>
    </w:p>
    <w:p>
      <w:pPr>
        <w:spacing w:line="400" w:lineRule="exact"/>
        <w:ind w:firstLine="420" w:firstLineChars="200"/>
        <w:rPr>
          <w:rFonts w:eastAsiaTheme="minorEastAsia"/>
          <w:szCs w:val="21"/>
          <w:highlight w:val="none"/>
          <w:u w:val="single"/>
        </w:rPr>
      </w:pPr>
      <w:r>
        <w:rPr>
          <w:rFonts w:eastAsiaTheme="minorEastAsia"/>
          <w:szCs w:val="21"/>
          <w:highlight w:val="none"/>
        </w:rPr>
        <w:t>4.1提交截止时间：</w:t>
      </w:r>
      <w:r>
        <w:rPr>
          <w:rFonts w:eastAsiaTheme="minorEastAsia"/>
          <w:szCs w:val="21"/>
          <w:highlight w:val="none"/>
          <w:u w:val="single"/>
        </w:rPr>
        <w:t>2022年</w:t>
      </w:r>
      <w:r>
        <w:rPr>
          <w:rFonts w:hint="eastAsia" w:eastAsiaTheme="minorEastAsia"/>
          <w:szCs w:val="21"/>
          <w:highlight w:val="none"/>
          <w:u w:val="single"/>
          <w:lang w:val="en-US" w:eastAsia="zh-CN"/>
        </w:rPr>
        <w:t xml:space="preserve"> 7 </w:t>
      </w:r>
      <w:r>
        <w:rPr>
          <w:rFonts w:eastAsiaTheme="minorEastAsia"/>
          <w:szCs w:val="21"/>
          <w:highlight w:val="none"/>
          <w:u w:val="single"/>
        </w:rPr>
        <w:t xml:space="preserve">月 </w:t>
      </w:r>
      <w:r>
        <w:rPr>
          <w:rFonts w:hint="eastAsia" w:eastAsiaTheme="minorEastAsia"/>
          <w:szCs w:val="21"/>
          <w:highlight w:val="none"/>
          <w:u w:val="single"/>
          <w:lang w:val="en-US" w:eastAsia="zh-CN"/>
        </w:rPr>
        <w:t>21</w:t>
      </w:r>
      <w:r>
        <w:rPr>
          <w:rFonts w:eastAsiaTheme="minorEastAsia"/>
          <w:szCs w:val="21"/>
          <w:highlight w:val="none"/>
          <w:u w:val="single"/>
        </w:rPr>
        <w:t xml:space="preserve"> </w:t>
      </w:r>
      <w:r>
        <w:rPr>
          <w:rFonts w:hint="eastAsia" w:eastAsiaTheme="minorEastAsia"/>
          <w:szCs w:val="21"/>
          <w:highlight w:val="none"/>
          <w:u w:val="single"/>
          <w:lang w:val="en-US" w:eastAsia="zh-CN"/>
        </w:rPr>
        <w:t xml:space="preserve"> </w:t>
      </w:r>
      <w:r>
        <w:rPr>
          <w:rFonts w:eastAsiaTheme="minorEastAsia"/>
          <w:szCs w:val="21"/>
          <w:highlight w:val="none"/>
          <w:u w:val="single"/>
        </w:rPr>
        <w:t xml:space="preserve">日 </w:t>
      </w:r>
      <w:r>
        <w:rPr>
          <w:rFonts w:hint="eastAsia" w:eastAsiaTheme="minorEastAsia"/>
          <w:szCs w:val="21"/>
          <w:highlight w:val="none"/>
          <w:u w:val="single"/>
          <w:lang w:val="en-US" w:eastAsia="zh-CN"/>
        </w:rPr>
        <w:t xml:space="preserve"> 09</w:t>
      </w:r>
      <w:r>
        <w:rPr>
          <w:rFonts w:eastAsiaTheme="minorEastAsia"/>
          <w:szCs w:val="21"/>
          <w:highlight w:val="none"/>
          <w:u w:val="single"/>
        </w:rPr>
        <w:t xml:space="preserve"> 时</w:t>
      </w:r>
      <w:r>
        <w:rPr>
          <w:rFonts w:hint="eastAsia" w:eastAsiaTheme="minorEastAsia"/>
          <w:szCs w:val="21"/>
          <w:highlight w:val="none"/>
          <w:u w:val="single"/>
          <w:lang w:val="en-US" w:eastAsia="zh-CN"/>
        </w:rPr>
        <w:t xml:space="preserve">  00 </w:t>
      </w:r>
      <w:r>
        <w:rPr>
          <w:rFonts w:eastAsiaTheme="minorEastAsia"/>
          <w:szCs w:val="21"/>
          <w:highlight w:val="none"/>
          <w:u w:val="single"/>
        </w:rPr>
        <w:t>分</w:t>
      </w:r>
    </w:p>
    <w:p>
      <w:pPr>
        <w:spacing w:line="400" w:lineRule="exact"/>
        <w:ind w:firstLine="420" w:firstLineChars="200"/>
        <w:rPr>
          <w:rFonts w:eastAsiaTheme="minorEastAsia"/>
          <w:szCs w:val="21"/>
          <w:highlight w:val="none"/>
        </w:rPr>
      </w:pPr>
      <w:r>
        <w:rPr>
          <w:rFonts w:eastAsiaTheme="minorEastAsia"/>
          <w:szCs w:val="21"/>
          <w:highlight w:val="none"/>
        </w:rPr>
        <w:t>4.2</w:t>
      </w:r>
      <w:r>
        <w:rPr>
          <w:rFonts w:hint="eastAsia" w:eastAsiaTheme="minorEastAsia"/>
          <w:szCs w:val="21"/>
          <w:highlight w:val="none"/>
          <w:lang w:eastAsia="zh-CN"/>
        </w:rPr>
        <w:t>提交地址</w:t>
      </w:r>
      <w:r>
        <w:rPr>
          <w:rFonts w:eastAsiaTheme="minorEastAsia"/>
          <w:szCs w:val="21"/>
          <w:highlight w:val="none"/>
        </w:rPr>
        <w:t>：杭州市拱墅区文晖路303号浙江交通大楼12楼</w:t>
      </w:r>
      <w:r>
        <w:rPr>
          <w:rFonts w:hint="eastAsia" w:eastAsiaTheme="minorEastAsia"/>
          <w:szCs w:val="21"/>
          <w:highlight w:val="none"/>
          <w:lang w:eastAsia="zh-CN"/>
        </w:rPr>
        <w:t>企业发展部</w:t>
      </w:r>
      <w:r>
        <w:rPr>
          <w:rFonts w:eastAsiaTheme="minorEastAsia"/>
          <w:szCs w:val="21"/>
          <w:highlight w:val="none"/>
        </w:rPr>
        <w:t>。</w:t>
      </w:r>
    </w:p>
    <w:p>
      <w:pPr>
        <w:spacing w:line="400" w:lineRule="exact"/>
        <w:ind w:firstLine="420" w:firstLineChars="200"/>
        <w:rPr>
          <w:rFonts w:eastAsiaTheme="minorEastAsia"/>
          <w:szCs w:val="21"/>
          <w:highlight w:val="none"/>
        </w:rPr>
      </w:pPr>
      <w:r>
        <w:rPr>
          <w:rFonts w:eastAsiaTheme="minorEastAsia"/>
          <w:szCs w:val="21"/>
          <w:highlight w:val="none"/>
        </w:rPr>
        <w:t>4.</w:t>
      </w:r>
      <w:r>
        <w:rPr>
          <w:rFonts w:hint="eastAsia" w:eastAsiaTheme="minorEastAsia"/>
          <w:szCs w:val="21"/>
          <w:highlight w:val="none"/>
          <w:lang w:val="en-US" w:eastAsia="zh-CN"/>
        </w:rPr>
        <w:t>3</w:t>
      </w:r>
      <w:r>
        <w:rPr>
          <w:rFonts w:eastAsiaTheme="minorEastAsia"/>
          <w:szCs w:val="21"/>
          <w:highlight w:val="none"/>
        </w:rPr>
        <w:t>开启时间：</w:t>
      </w:r>
      <w:r>
        <w:rPr>
          <w:rFonts w:eastAsiaTheme="minorEastAsia"/>
          <w:szCs w:val="21"/>
          <w:highlight w:val="none"/>
          <w:u w:val="single"/>
        </w:rPr>
        <w:t>2022年</w:t>
      </w:r>
      <w:r>
        <w:rPr>
          <w:rFonts w:hint="eastAsia" w:eastAsiaTheme="minorEastAsia"/>
          <w:szCs w:val="21"/>
          <w:highlight w:val="none"/>
          <w:u w:val="single"/>
          <w:lang w:val="en-US" w:eastAsia="zh-CN"/>
        </w:rPr>
        <w:t xml:space="preserve"> 7 </w:t>
      </w:r>
      <w:r>
        <w:rPr>
          <w:rFonts w:eastAsiaTheme="minorEastAsia"/>
          <w:szCs w:val="21"/>
          <w:highlight w:val="none"/>
          <w:u w:val="single"/>
        </w:rPr>
        <w:t>月</w:t>
      </w:r>
      <w:r>
        <w:rPr>
          <w:rFonts w:hint="eastAsia" w:eastAsiaTheme="minorEastAsia"/>
          <w:szCs w:val="21"/>
          <w:highlight w:val="none"/>
          <w:u w:val="single"/>
          <w:lang w:val="en-US" w:eastAsia="zh-CN"/>
        </w:rPr>
        <w:t xml:space="preserve">  21 </w:t>
      </w:r>
      <w:r>
        <w:rPr>
          <w:rFonts w:eastAsiaTheme="minorEastAsia"/>
          <w:szCs w:val="21"/>
          <w:highlight w:val="none"/>
          <w:u w:val="single"/>
        </w:rPr>
        <w:t>日</w:t>
      </w:r>
      <w:r>
        <w:rPr>
          <w:rFonts w:hint="eastAsia" w:eastAsiaTheme="minorEastAsia"/>
          <w:szCs w:val="21"/>
          <w:highlight w:val="none"/>
          <w:u w:val="single"/>
          <w:lang w:val="en-US" w:eastAsia="zh-CN"/>
        </w:rPr>
        <w:t xml:space="preserve">  09 </w:t>
      </w:r>
      <w:r>
        <w:rPr>
          <w:rFonts w:eastAsiaTheme="minorEastAsia"/>
          <w:szCs w:val="21"/>
          <w:highlight w:val="none"/>
          <w:u w:val="single"/>
        </w:rPr>
        <w:t>时</w:t>
      </w:r>
      <w:r>
        <w:rPr>
          <w:rFonts w:hint="eastAsia" w:eastAsiaTheme="minorEastAsia"/>
          <w:szCs w:val="21"/>
          <w:highlight w:val="none"/>
          <w:u w:val="single"/>
          <w:lang w:val="en-US" w:eastAsia="zh-CN"/>
        </w:rPr>
        <w:t xml:space="preserve">  30  </w:t>
      </w:r>
      <w:r>
        <w:rPr>
          <w:rFonts w:eastAsiaTheme="minorEastAsia"/>
          <w:szCs w:val="21"/>
          <w:highlight w:val="none"/>
          <w:u w:val="single"/>
        </w:rPr>
        <w:t>分</w:t>
      </w:r>
      <w:r>
        <w:rPr>
          <w:rFonts w:eastAsiaTheme="minorEastAsia"/>
          <w:szCs w:val="21"/>
          <w:highlight w:val="none"/>
        </w:rPr>
        <w:t>。</w:t>
      </w:r>
      <w:bookmarkStart w:id="68" w:name="_GoBack"/>
      <w:bookmarkEnd w:id="68"/>
    </w:p>
    <w:p>
      <w:pPr>
        <w:spacing w:before="156" w:beforeLines="50" w:after="156" w:afterLines="50" w:line="400" w:lineRule="exact"/>
        <w:outlineLvl w:val="1"/>
        <w:rPr>
          <w:rFonts w:eastAsia="黑体"/>
          <w:sz w:val="28"/>
          <w:szCs w:val="28"/>
          <w:highlight w:val="none"/>
        </w:rPr>
      </w:pPr>
      <w:bookmarkStart w:id="5" w:name="_Toc103178519"/>
      <w:r>
        <w:rPr>
          <w:rFonts w:eastAsia="黑体"/>
          <w:sz w:val="28"/>
          <w:szCs w:val="28"/>
          <w:highlight w:val="none"/>
        </w:rPr>
        <w:t>5.联系方式</w:t>
      </w:r>
      <w:bookmarkEnd w:id="5"/>
    </w:p>
    <w:p>
      <w:pPr>
        <w:spacing w:line="400" w:lineRule="exact"/>
        <w:ind w:firstLine="420" w:firstLineChars="200"/>
        <w:rPr>
          <w:rFonts w:eastAsiaTheme="minorEastAsia"/>
          <w:szCs w:val="21"/>
          <w:highlight w:val="none"/>
        </w:rPr>
      </w:pPr>
      <w:r>
        <w:rPr>
          <w:rFonts w:eastAsiaTheme="minorEastAsia"/>
          <w:szCs w:val="21"/>
          <w:highlight w:val="none"/>
        </w:rPr>
        <w:t>5.1采购人名称：浙江省铁路发展控股集团有限责任公司</w:t>
      </w:r>
    </w:p>
    <w:p>
      <w:pPr>
        <w:spacing w:line="400" w:lineRule="exact"/>
        <w:ind w:firstLine="420" w:firstLineChars="200"/>
        <w:rPr>
          <w:rFonts w:eastAsiaTheme="minorEastAsia"/>
          <w:szCs w:val="21"/>
          <w:highlight w:val="none"/>
        </w:rPr>
      </w:pPr>
      <w:r>
        <w:rPr>
          <w:rFonts w:eastAsiaTheme="minorEastAsia"/>
          <w:szCs w:val="21"/>
          <w:highlight w:val="none"/>
        </w:rPr>
        <w:t>联系人：</w:t>
      </w:r>
      <w:r>
        <w:rPr>
          <w:rFonts w:hint="eastAsia" w:eastAsiaTheme="minorEastAsia"/>
          <w:szCs w:val="21"/>
          <w:highlight w:val="none"/>
          <w:lang w:eastAsia="zh-CN"/>
        </w:rPr>
        <w:t>尚</w:t>
      </w:r>
      <w:r>
        <w:rPr>
          <w:rFonts w:eastAsiaTheme="minorEastAsia"/>
          <w:szCs w:val="21"/>
          <w:highlight w:val="none"/>
        </w:rPr>
        <w:t>女士</w:t>
      </w:r>
    </w:p>
    <w:p>
      <w:pPr>
        <w:spacing w:line="400" w:lineRule="exact"/>
        <w:ind w:firstLine="420" w:firstLineChars="200"/>
        <w:rPr>
          <w:rFonts w:eastAsiaTheme="minorEastAsia"/>
          <w:szCs w:val="21"/>
          <w:highlight w:val="none"/>
          <w:u w:val="single"/>
        </w:rPr>
      </w:pPr>
      <w:r>
        <w:rPr>
          <w:rFonts w:eastAsiaTheme="minorEastAsia"/>
          <w:szCs w:val="21"/>
          <w:highlight w:val="none"/>
        </w:rPr>
        <w:t>地址：杭州市拱墅区文晖路303号浙江交通大楼12楼</w:t>
      </w:r>
      <w:r>
        <w:rPr>
          <w:rFonts w:hint="eastAsia" w:eastAsiaTheme="minorEastAsia"/>
          <w:szCs w:val="21"/>
          <w:highlight w:val="none"/>
          <w:lang w:eastAsia="zh-CN"/>
        </w:rPr>
        <w:t>企业发展部</w:t>
      </w:r>
    </w:p>
    <w:p>
      <w:pPr>
        <w:spacing w:line="400" w:lineRule="exact"/>
        <w:ind w:firstLine="420" w:firstLineChars="200"/>
        <w:rPr>
          <w:rFonts w:eastAsiaTheme="minorEastAsia"/>
          <w:szCs w:val="21"/>
          <w:highlight w:val="none"/>
        </w:rPr>
      </w:pPr>
      <w:r>
        <w:rPr>
          <w:rFonts w:eastAsiaTheme="minorEastAsia"/>
          <w:szCs w:val="21"/>
          <w:highlight w:val="none"/>
        </w:rPr>
        <w:t>电话：0571-87567933</w:t>
      </w:r>
    </w:p>
    <w:p>
      <w:pPr>
        <w:spacing w:line="400" w:lineRule="exact"/>
        <w:ind w:firstLine="420" w:firstLineChars="200"/>
        <w:rPr>
          <w:rFonts w:eastAsiaTheme="minorEastAsia"/>
          <w:szCs w:val="21"/>
          <w:highlight w:val="none"/>
        </w:rPr>
      </w:pPr>
      <w:r>
        <w:rPr>
          <w:rFonts w:eastAsiaTheme="minorEastAsia"/>
          <w:szCs w:val="21"/>
          <w:highlight w:val="none"/>
        </w:rPr>
        <w:t>5.2采购监督管理部门：纪检监察部</w:t>
      </w:r>
    </w:p>
    <w:p>
      <w:pPr>
        <w:widowControl/>
        <w:spacing w:line="400" w:lineRule="exact"/>
        <w:ind w:firstLine="420" w:firstLineChars="200"/>
        <w:jc w:val="left"/>
        <w:rPr>
          <w:rFonts w:eastAsiaTheme="minorEastAsia"/>
          <w:szCs w:val="21"/>
          <w:highlight w:val="none"/>
        </w:rPr>
      </w:pPr>
      <w:r>
        <w:rPr>
          <w:rFonts w:eastAsiaTheme="minorEastAsia"/>
          <w:szCs w:val="21"/>
          <w:highlight w:val="none"/>
        </w:rPr>
        <w:t>地  址：杭州市拱墅区文晖路303号浙江交通大楼12楼</w:t>
      </w:r>
    </w:p>
    <w:p>
      <w:pPr>
        <w:widowControl/>
        <w:spacing w:line="400" w:lineRule="exact"/>
        <w:ind w:firstLine="420" w:firstLineChars="200"/>
        <w:jc w:val="left"/>
        <w:rPr>
          <w:rFonts w:eastAsiaTheme="minorEastAsia"/>
          <w:szCs w:val="21"/>
          <w:highlight w:val="none"/>
        </w:rPr>
      </w:pPr>
      <w:r>
        <w:rPr>
          <w:rFonts w:eastAsiaTheme="minorEastAsia"/>
          <w:szCs w:val="21"/>
          <w:highlight w:val="none"/>
        </w:rPr>
        <w:t>电  话：0571-86789217</w:t>
      </w:r>
    </w:p>
    <w:p>
      <w:pPr>
        <w:pStyle w:val="2"/>
        <w:ind w:firstLine="280"/>
        <w:rPr>
          <w:rFonts w:ascii="Times New Roman" w:hAnsi="Times New Roman"/>
          <w:sz w:val="28"/>
          <w:szCs w:val="28"/>
          <w:highlight w:val="none"/>
        </w:rPr>
      </w:pPr>
      <w:r>
        <w:rPr>
          <w:rFonts w:ascii="Times New Roman" w:hAnsi="Times New Roman"/>
          <w:sz w:val="28"/>
          <w:szCs w:val="28"/>
          <w:highlight w:val="none"/>
        </w:rPr>
        <w:br w:type="page"/>
      </w:r>
    </w:p>
    <w:p>
      <w:pPr>
        <w:widowControl/>
        <w:jc w:val="center"/>
        <w:outlineLvl w:val="0"/>
        <w:rPr>
          <w:rFonts w:eastAsia="黑体"/>
          <w:sz w:val="32"/>
          <w:szCs w:val="32"/>
          <w:highlight w:val="none"/>
        </w:rPr>
      </w:pPr>
      <w:bookmarkStart w:id="6" w:name="_Toc103178520"/>
      <w:r>
        <w:rPr>
          <w:rFonts w:eastAsia="黑体"/>
          <w:sz w:val="32"/>
          <w:szCs w:val="32"/>
          <w:highlight w:val="none"/>
        </w:rPr>
        <w:t>第二章 供应商须知</w:t>
      </w:r>
      <w:bookmarkEnd w:id="6"/>
    </w:p>
    <w:p>
      <w:pPr>
        <w:spacing w:before="156" w:beforeLines="50" w:after="156" w:afterLines="50" w:line="400" w:lineRule="exact"/>
        <w:outlineLvl w:val="1"/>
        <w:rPr>
          <w:rFonts w:eastAsia="黑体"/>
          <w:sz w:val="28"/>
          <w:szCs w:val="28"/>
          <w:highlight w:val="none"/>
        </w:rPr>
      </w:pPr>
      <w:bookmarkStart w:id="7" w:name="_Toc103178521"/>
      <w:r>
        <w:rPr>
          <w:rFonts w:eastAsia="黑体"/>
          <w:sz w:val="28"/>
          <w:szCs w:val="28"/>
          <w:highlight w:val="none"/>
        </w:rPr>
        <w:t>1.供应商须知前附表</w:t>
      </w:r>
      <w:bookmarkEnd w:id="7"/>
    </w:p>
    <w:tbl>
      <w:tblPr>
        <w:tblStyle w:val="25"/>
        <w:tblW w:w="9915" w:type="dxa"/>
        <w:jc w:val="center"/>
        <w:tblInd w:w="0" w:type="dxa"/>
        <w:tblLayout w:type="fixed"/>
        <w:tblCellMar>
          <w:top w:w="0" w:type="dxa"/>
          <w:left w:w="108" w:type="dxa"/>
          <w:bottom w:w="0" w:type="dxa"/>
          <w:right w:w="108" w:type="dxa"/>
        </w:tblCellMar>
      </w:tblPr>
      <w:tblGrid>
        <w:gridCol w:w="701"/>
        <w:gridCol w:w="2062"/>
        <w:gridCol w:w="7152"/>
      </w:tblGrid>
      <w:tr>
        <w:tblPrEx>
          <w:tblLayout w:type="fixed"/>
          <w:tblCellMar>
            <w:top w:w="0" w:type="dxa"/>
            <w:left w:w="108" w:type="dxa"/>
            <w:bottom w:w="0" w:type="dxa"/>
            <w:right w:w="108" w:type="dxa"/>
          </w:tblCellMar>
        </w:tblPrEx>
        <w:trPr>
          <w:trHeight w:val="6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highlight w:val="none"/>
              </w:rPr>
            </w:pPr>
            <w:r>
              <w:rPr>
                <w:rFonts w:eastAsiaTheme="minorEastAsia"/>
                <w:sz w:val="18"/>
                <w:szCs w:val="18"/>
                <w:highlight w:val="none"/>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highlight w:val="none"/>
              </w:rPr>
            </w:pPr>
            <w:r>
              <w:rPr>
                <w:rFonts w:eastAsiaTheme="minorEastAsia"/>
                <w:sz w:val="18"/>
                <w:szCs w:val="18"/>
                <w:highlight w:val="none"/>
              </w:rPr>
              <w:t>条款名称</w:t>
            </w:r>
          </w:p>
        </w:tc>
        <w:tc>
          <w:tcPr>
            <w:tcW w:w="715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highlight w:val="none"/>
              </w:rPr>
            </w:pPr>
            <w:r>
              <w:rPr>
                <w:rFonts w:eastAsiaTheme="minorEastAsia"/>
                <w:sz w:val="18"/>
                <w:szCs w:val="18"/>
                <w:highlight w:val="none"/>
              </w:rPr>
              <w:t>内容及要求</w:t>
            </w:r>
          </w:p>
        </w:tc>
      </w:tr>
      <w:tr>
        <w:tblPrEx>
          <w:tblLayout w:type="fixed"/>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采购人</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采购人：浙江省铁路发展控股集团有限责任公司</w:t>
            </w:r>
          </w:p>
          <w:p>
            <w:pPr>
              <w:spacing w:line="276" w:lineRule="auto"/>
              <w:ind w:firstLine="9" w:firstLineChars="5"/>
              <w:rPr>
                <w:rFonts w:eastAsiaTheme="minorEastAsia"/>
                <w:sz w:val="18"/>
                <w:szCs w:val="18"/>
                <w:highlight w:val="none"/>
              </w:rPr>
            </w:pPr>
            <w:r>
              <w:rPr>
                <w:rFonts w:eastAsiaTheme="minorEastAsia"/>
                <w:sz w:val="18"/>
                <w:szCs w:val="18"/>
                <w:highlight w:val="none"/>
              </w:rPr>
              <w:t>地  址：杭州市拱墅区文晖路303号浙江交通大楼12楼</w:t>
            </w:r>
            <w:r>
              <w:rPr>
                <w:rFonts w:hint="eastAsia" w:eastAsiaTheme="minorEastAsia"/>
                <w:sz w:val="18"/>
                <w:szCs w:val="18"/>
                <w:highlight w:val="none"/>
                <w:lang w:eastAsia="zh-CN"/>
              </w:rPr>
              <w:t>企业发展部</w:t>
            </w:r>
          </w:p>
          <w:p>
            <w:pPr>
              <w:spacing w:line="276" w:lineRule="auto"/>
              <w:ind w:firstLine="9" w:firstLineChars="5"/>
              <w:rPr>
                <w:rFonts w:eastAsiaTheme="minorEastAsia"/>
                <w:sz w:val="18"/>
                <w:szCs w:val="18"/>
                <w:highlight w:val="none"/>
              </w:rPr>
            </w:pPr>
            <w:r>
              <w:rPr>
                <w:rFonts w:eastAsiaTheme="minorEastAsia"/>
                <w:sz w:val="18"/>
                <w:szCs w:val="18"/>
                <w:highlight w:val="none"/>
              </w:rPr>
              <w:t>联系人：</w:t>
            </w:r>
            <w:r>
              <w:rPr>
                <w:rFonts w:hint="eastAsia" w:eastAsiaTheme="minorEastAsia"/>
                <w:sz w:val="18"/>
                <w:szCs w:val="18"/>
                <w:highlight w:val="none"/>
                <w:lang w:eastAsia="zh-CN"/>
              </w:rPr>
              <w:t>尚</w:t>
            </w:r>
            <w:r>
              <w:rPr>
                <w:rFonts w:eastAsiaTheme="minorEastAsia"/>
                <w:sz w:val="18"/>
                <w:szCs w:val="18"/>
                <w:highlight w:val="none"/>
              </w:rPr>
              <w:t>女士</w:t>
            </w:r>
          </w:p>
          <w:p>
            <w:pPr>
              <w:autoSpaceDE w:val="0"/>
              <w:autoSpaceDN w:val="0"/>
              <w:rPr>
                <w:rFonts w:eastAsiaTheme="minorEastAsia"/>
                <w:sz w:val="18"/>
                <w:szCs w:val="18"/>
                <w:highlight w:val="none"/>
              </w:rPr>
            </w:pPr>
            <w:r>
              <w:rPr>
                <w:rFonts w:eastAsiaTheme="minorEastAsia"/>
                <w:sz w:val="18"/>
                <w:szCs w:val="18"/>
                <w:highlight w:val="none"/>
              </w:rPr>
              <w:t>电  话：0571-87567933</w:t>
            </w:r>
          </w:p>
        </w:tc>
      </w:tr>
      <w:tr>
        <w:tblPrEx>
          <w:tblLayout w:type="fixed"/>
          <w:tblCellMar>
            <w:top w:w="0" w:type="dxa"/>
            <w:left w:w="108" w:type="dxa"/>
            <w:bottom w:w="0" w:type="dxa"/>
            <w:right w:w="108" w:type="dxa"/>
          </w:tblCellMar>
        </w:tblPrEx>
        <w:trPr>
          <w:trHeight w:val="45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项目名称</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浙江省铁路发展控股集团有限责任公司</w:t>
            </w:r>
            <w:r>
              <w:rPr>
                <w:rFonts w:hint="eastAsia" w:eastAsiaTheme="minorEastAsia"/>
                <w:sz w:val="18"/>
                <w:szCs w:val="18"/>
                <w:highlight w:val="none"/>
                <w:lang w:eastAsia="zh-CN"/>
              </w:rPr>
              <w:t>常年法律顾问服务</w:t>
            </w:r>
            <w:r>
              <w:rPr>
                <w:rFonts w:eastAsiaTheme="minorEastAsia"/>
                <w:sz w:val="18"/>
                <w:szCs w:val="18"/>
                <w:highlight w:val="none"/>
              </w:rPr>
              <w:t>采购项目</w:t>
            </w:r>
          </w:p>
        </w:tc>
      </w:tr>
      <w:tr>
        <w:tblPrEx>
          <w:tblLayout w:type="fixed"/>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资金来源和落实情况</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自筹，资金已落实</w:t>
            </w:r>
          </w:p>
        </w:tc>
      </w:tr>
      <w:tr>
        <w:tblPrEx>
          <w:tblLayout w:type="fixed"/>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4</w:t>
            </w:r>
          </w:p>
        </w:tc>
        <w:tc>
          <w:tcPr>
            <w:tcW w:w="206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rPr>
            </w:pPr>
            <w:r>
              <w:rPr>
                <w:rFonts w:eastAsiaTheme="minorEastAsia"/>
                <w:sz w:val="18"/>
                <w:szCs w:val="18"/>
                <w:highlight w:val="none"/>
              </w:rPr>
              <w:t>总工期（供货期）及交货地点</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rPr>
            </w:pPr>
            <w:r>
              <w:rPr>
                <w:rFonts w:eastAsiaTheme="minorEastAsia"/>
                <w:sz w:val="18"/>
                <w:szCs w:val="18"/>
                <w:highlight w:val="none"/>
              </w:rPr>
              <w:t>总工期：</w:t>
            </w:r>
            <w:r>
              <w:rPr>
                <w:rFonts w:hint="eastAsia" w:eastAsiaTheme="minorEastAsia"/>
                <w:sz w:val="18"/>
                <w:szCs w:val="18"/>
                <w:highlight w:val="none"/>
                <w:lang w:val="en-US" w:eastAsia="zh-CN"/>
              </w:rPr>
              <w:t>24</w:t>
            </w:r>
            <w:r>
              <w:rPr>
                <w:rFonts w:eastAsiaTheme="minorEastAsia"/>
                <w:sz w:val="18"/>
                <w:szCs w:val="18"/>
                <w:highlight w:val="none"/>
              </w:rPr>
              <w:t>个月</w:t>
            </w:r>
          </w:p>
          <w:p>
            <w:pPr>
              <w:spacing w:line="276" w:lineRule="auto"/>
              <w:ind w:firstLine="9" w:firstLineChars="5"/>
              <w:rPr>
                <w:rFonts w:eastAsiaTheme="minorEastAsia"/>
                <w:sz w:val="18"/>
                <w:szCs w:val="18"/>
                <w:highlight w:val="none"/>
              </w:rPr>
            </w:pPr>
            <w:r>
              <w:rPr>
                <w:rFonts w:eastAsiaTheme="minorEastAsia"/>
                <w:sz w:val="18"/>
                <w:szCs w:val="18"/>
                <w:highlight w:val="none"/>
              </w:rPr>
              <w:t>交货地点：杭州市拱墅区文晖路303号浙江交通大楼12楼</w:t>
            </w:r>
            <w:r>
              <w:rPr>
                <w:rFonts w:hint="eastAsia" w:eastAsiaTheme="minorEastAsia"/>
                <w:sz w:val="18"/>
                <w:szCs w:val="18"/>
                <w:highlight w:val="none"/>
                <w:lang w:eastAsia="zh-CN"/>
              </w:rPr>
              <w:t>企业发展部</w:t>
            </w:r>
          </w:p>
        </w:tc>
      </w:tr>
      <w:tr>
        <w:tblPrEx>
          <w:tblLayout w:type="fixed"/>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项目内容</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eastAsiaTheme="minorEastAsia"/>
                <w:sz w:val="18"/>
                <w:szCs w:val="18"/>
                <w:highlight w:val="none"/>
              </w:rPr>
            </w:pPr>
            <w:r>
              <w:rPr>
                <w:rFonts w:hint="eastAsia" w:eastAsiaTheme="minorEastAsia"/>
                <w:sz w:val="18"/>
                <w:szCs w:val="18"/>
                <w:highlight w:val="none"/>
                <w:lang w:eastAsia="zh-CN"/>
              </w:rPr>
              <w:t>浙江省铁路发展控股集团有限责任公司以及九景衢铁路浙江有限公司常年法律顾问服务</w:t>
            </w:r>
            <w:r>
              <w:rPr>
                <w:rFonts w:eastAsiaTheme="minorEastAsia"/>
                <w:sz w:val="18"/>
                <w:szCs w:val="18"/>
                <w:highlight w:val="none"/>
              </w:rPr>
              <w:t>。</w:t>
            </w:r>
          </w:p>
        </w:tc>
      </w:tr>
      <w:tr>
        <w:tblPrEx>
          <w:tblLayout w:type="fixed"/>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rPr>
              <w:t>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预算控制价</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本项目预算控制价为</w:t>
            </w:r>
            <w:r>
              <w:rPr>
                <w:rFonts w:hint="eastAsia" w:eastAsiaTheme="minorEastAsia"/>
                <w:sz w:val="18"/>
                <w:szCs w:val="18"/>
                <w:highlight w:val="none"/>
                <w:lang w:val="en-US" w:eastAsia="zh-CN"/>
              </w:rPr>
              <w:t>9</w:t>
            </w:r>
            <w:r>
              <w:rPr>
                <w:rFonts w:eastAsiaTheme="minorEastAsia"/>
                <w:sz w:val="18"/>
                <w:szCs w:val="18"/>
                <w:highlight w:val="none"/>
              </w:rPr>
              <w:t>万元</w:t>
            </w:r>
            <w:r>
              <w:rPr>
                <w:rFonts w:hint="eastAsia" w:eastAsiaTheme="minorEastAsia"/>
                <w:sz w:val="18"/>
                <w:szCs w:val="18"/>
                <w:highlight w:val="none"/>
                <w:lang w:val="en-US" w:eastAsia="zh-CN"/>
              </w:rPr>
              <w:t>/年</w:t>
            </w:r>
            <w:r>
              <w:rPr>
                <w:rFonts w:eastAsiaTheme="minorEastAsia"/>
                <w:sz w:val="18"/>
                <w:szCs w:val="18"/>
                <w:highlight w:val="none"/>
              </w:rPr>
              <w:t>。</w:t>
            </w:r>
          </w:p>
        </w:tc>
      </w:tr>
      <w:tr>
        <w:tblPrEx>
          <w:tblLayout w:type="fixed"/>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供应商资格要求</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rPr>
            </w:pPr>
            <w:r>
              <w:rPr>
                <w:rFonts w:hint="eastAsia" w:eastAsiaTheme="minorEastAsia"/>
                <w:sz w:val="18"/>
                <w:szCs w:val="18"/>
                <w:highlight w:val="none"/>
              </w:rPr>
              <w:t>（1）</w:t>
            </w:r>
            <w:r>
              <w:rPr>
                <w:rFonts w:hint="eastAsia" w:eastAsiaTheme="minorEastAsia"/>
                <w:sz w:val="18"/>
                <w:szCs w:val="18"/>
                <w:highlight w:val="none"/>
                <w:lang w:eastAsia="zh-CN"/>
              </w:rPr>
              <w:t>供应商具有企业投融资、资产重组、改革改制、国有资产处置等工作经验（附合同扫描件）</w:t>
            </w:r>
            <w:r>
              <w:rPr>
                <w:rFonts w:eastAsiaTheme="minorEastAsia"/>
                <w:sz w:val="18"/>
                <w:szCs w:val="18"/>
                <w:highlight w:val="none"/>
              </w:rPr>
              <w:t>。</w:t>
            </w:r>
          </w:p>
          <w:p>
            <w:pPr>
              <w:rPr>
                <w:rFonts w:eastAsiaTheme="minorEastAsia"/>
                <w:sz w:val="18"/>
                <w:szCs w:val="18"/>
                <w:highlight w:val="none"/>
              </w:rPr>
            </w:pPr>
            <w:r>
              <w:rPr>
                <w:rFonts w:hint="eastAsia" w:eastAsiaTheme="minorEastAsia"/>
                <w:sz w:val="18"/>
                <w:szCs w:val="18"/>
                <w:highlight w:val="none"/>
              </w:rPr>
              <w:t>（2）</w:t>
            </w:r>
            <w:r>
              <w:rPr>
                <w:rFonts w:hint="eastAsia" w:eastAsiaTheme="minorEastAsia"/>
                <w:sz w:val="18"/>
                <w:szCs w:val="18"/>
                <w:highlight w:val="none"/>
                <w:lang w:eastAsia="zh-CN"/>
              </w:rPr>
              <w:t>应为在中华人民共和国境内合法设立并有效存续的律所，注册住所地在杭州市区（含分支机构）；</w:t>
            </w:r>
          </w:p>
          <w:p>
            <w:pPr>
              <w:rPr>
                <w:rFonts w:hint="eastAsia" w:eastAsiaTheme="minorEastAsia"/>
                <w:sz w:val="18"/>
                <w:szCs w:val="18"/>
                <w:highlight w:val="none"/>
                <w:lang w:val="en-US" w:eastAsia="zh-CN"/>
              </w:rPr>
            </w:pPr>
            <w:r>
              <w:rPr>
                <w:rFonts w:hint="eastAsia" w:eastAsiaTheme="minorEastAsia"/>
                <w:sz w:val="18"/>
                <w:szCs w:val="18"/>
                <w:highlight w:val="none"/>
                <w:lang w:val="en-US" w:eastAsia="zh-CN"/>
              </w:rPr>
              <w:t>（3）有30名（含）以上执业律师（不含兼职律师）（提供响应截止时间近三个月内的单位社保参保证明缴纳明细或者律师协会截图）</w:t>
            </w:r>
          </w:p>
          <w:p>
            <w:pPr>
              <w:rPr>
                <w:rFonts w:eastAsiaTheme="minorEastAsia"/>
                <w:sz w:val="18"/>
                <w:szCs w:val="18"/>
                <w:highlight w:val="none"/>
              </w:rPr>
            </w:pPr>
            <w:r>
              <w:rPr>
                <w:rFonts w:hint="eastAsia" w:eastAsiaTheme="minorEastAsia"/>
                <w:sz w:val="18"/>
                <w:szCs w:val="18"/>
                <w:highlight w:val="none"/>
              </w:rPr>
              <w:t>（</w:t>
            </w:r>
            <w:r>
              <w:rPr>
                <w:rFonts w:hint="eastAsia" w:eastAsiaTheme="minorEastAsia"/>
                <w:sz w:val="18"/>
                <w:szCs w:val="18"/>
                <w:highlight w:val="none"/>
                <w:lang w:val="en-US" w:eastAsia="zh-CN"/>
              </w:rPr>
              <w:t>4</w:t>
            </w:r>
            <w:r>
              <w:rPr>
                <w:rFonts w:hint="eastAsia" w:eastAsiaTheme="minorEastAsia"/>
                <w:sz w:val="18"/>
                <w:szCs w:val="18"/>
                <w:highlight w:val="none"/>
              </w:rPr>
              <w:t>）</w:t>
            </w:r>
            <w:r>
              <w:rPr>
                <w:rFonts w:eastAsiaTheme="minorEastAsia"/>
                <w:sz w:val="18"/>
                <w:szCs w:val="18"/>
                <w:highlight w:val="none"/>
              </w:rPr>
              <w:t>信用要求：至本项目响应截止时间止未列入失信被执行人、重大税收违法案件当事人名单。（提供“信用中国”网站（www.creditchina.gov.cn）查询结果截图）（响应人须如实作出承诺，最终以评审小组现场查询结果为准。）</w:t>
            </w:r>
          </w:p>
          <w:p>
            <w:pPr>
              <w:rPr>
                <w:rFonts w:eastAsiaTheme="minorEastAsia"/>
                <w:sz w:val="18"/>
                <w:szCs w:val="18"/>
                <w:highlight w:val="none"/>
              </w:rPr>
            </w:pPr>
            <w:r>
              <w:rPr>
                <w:rFonts w:hint="eastAsia" w:eastAsiaTheme="minorEastAsia"/>
                <w:sz w:val="18"/>
                <w:szCs w:val="18"/>
                <w:highlight w:val="none"/>
              </w:rPr>
              <w:t>（</w:t>
            </w:r>
            <w:r>
              <w:rPr>
                <w:rFonts w:hint="eastAsia" w:eastAsiaTheme="minorEastAsia"/>
                <w:sz w:val="18"/>
                <w:szCs w:val="18"/>
                <w:highlight w:val="none"/>
                <w:lang w:val="en-US" w:eastAsia="zh-CN"/>
              </w:rPr>
              <w:t>5</w:t>
            </w:r>
            <w:r>
              <w:rPr>
                <w:rFonts w:hint="eastAsia" w:eastAsiaTheme="minorEastAsia"/>
                <w:sz w:val="18"/>
                <w:szCs w:val="18"/>
                <w:highlight w:val="none"/>
              </w:rPr>
              <w:t>）</w:t>
            </w:r>
            <w:r>
              <w:rPr>
                <w:rFonts w:eastAsiaTheme="minorEastAsia"/>
                <w:sz w:val="18"/>
                <w:szCs w:val="18"/>
                <w:highlight w:val="none"/>
              </w:rPr>
              <w:t>信誉要求：截止本项目采购公告发布之日止，响应人必须具有良好的信誉，未处于被责令停业，响应资格被取消，财产被接管、冻结、破产状态；在最近三年内没有骗取中标和严重违约引起的合同中止、纠纷、争议、仲裁和诉讼记录等情况（响应人须如实作出承诺）。</w:t>
            </w:r>
          </w:p>
          <w:p>
            <w:pPr>
              <w:rPr>
                <w:rFonts w:eastAsiaTheme="minorEastAsia"/>
                <w:szCs w:val="21"/>
                <w:highlight w:val="none"/>
              </w:rPr>
            </w:pPr>
            <w:r>
              <w:rPr>
                <w:rFonts w:hint="eastAsia" w:eastAsiaTheme="minorEastAsia"/>
                <w:sz w:val="18"/>
                <w:szCs w:val="18"/>
                <w:highlight w:val="none"/>
              </w:rPr>
              <w:t>（</w:t>
            </w:r>
            <w:r>
              <w:rPr>
                <w:rFonts w:hint="eastAsia" w:eastAsiaTheme="minorEastAsia"/>
                <w:sz w:val="18"/>
                <w:szCs w:val="18"/>
                <w:highlight w:val="none"/>
                <w:lang w:val="en-US" w:eastAsia="zh-CN"/>
              </w:rPr>
              <w:t>6</w:t>
            </w:r>
            <w:r>
              <w:rPr>
                <w:rFonts w:hint="eastAsia" w:eastAsiaTheme="minorEastAsia"/>
                <w:sz w:val="18"/>
                <w:szCs w:val="18"/>
                <w:highlight w:val="none"/>
              </w:rPr>
              <w:t>）</w:t>
            </w:r>
            <w:r>
              <w:rPr>
                <w:rFonts w:eastAsiaTheme="minorEastAsia"/>
                <w:sz w:val="18"/>
                <w:szCs w:val="18"/>
                <w:highlight w:val="none"/>
              </w:rPr>
              <w:t>本次</w:t>
            </w:r>
            <w:r>
              <w:rPr>
                <w:rFonts w:hint="eastAsia" w:eastAsiaTheme="minorEastAsia"/>
                <w:sz w:val="18"/>
                <w:szCs w:val="18"/>
                <w:highlight w:val="none"/>
              </w:rPr>
              <w:t>询比</w:t>
            </w:r>
            <w:r>
              <w:rPr>
                <w:rFonts w:eastAsiaTheme="minorEastAsia"/>
                <w:sz w:val="18"/>
                <w:szCs w:val="18"/>
                <w:highlight w:val="none"/>
              </w:rPr>
              <w:t>采购不接受任何形式联合体响应，不得转包。</w:t>
            </w:r>
          </w:p>
        </w:tc>
      </w:tr>
      <w:tr>
        <w:tblPrEx>
          <w:tblLayout w:type="fixed"/>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eastAsiaTheme="minorEastAsia"/>
                <w:sz w:val="18"/>
                <w:szCs w:val="18"/>
                <w:highlight w:val="none"/>
                <w:lang w:val="zh-CN"/>
              </w:rPr>
            </w:pPr>
            <w:r>
              <w:rPr>
                <w:rFonts w:eastAsiaTheme="minorEastAsia"/>
                <w:sz w:val="18"/>
                <w:szCs w:val="18"/>
                <w:highlight w:val="none"/>
                <w:lang w:val="zh-CN"/>
              </w:rPr>
              <w:t>保密</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参与询比活动的当事人应对询比通知书和响应文件中的商业秘密、技术秘密和个人隐私等保密，违者应对由此造成的后果承担法律责任。</w:t>
            </w:r>
          </w:p>
        </w:tc>
      </w:tr>
      <w:tr>
        <w:tblPrEx>
          <w:tblLayout w:type="fixed"/>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rPr>
            </w:pPr>
            <w:r>
              <w:rPr>
                <w:rFonts w:eastAsiaTheme="minorEastAsia"/>
                <w:sz w:val="18"/>
                <w:szCs w:val="18"/>
                <w:highlight w:val="none"/>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踏勘现场</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fldChar w:fldCharType="begin"/>
            </w:r>
            <w:r>
              <w:rPr>
                <w:rFonts w:eastAsiaTheme="minorEastAsia"/>
                <w:sz w:val="18"/>
                <w:szCs w:val="18"/>
                <w:highlight w:val="none"/>
                <w:lang w:val="zh-CN"/>
              </w:rPr>
              <w:instrText xml:space="preserve"> eq \o\ac(□,√)</w:instrText>
            </w:r>
            <w:r>
              <w:rPr>
                <w:rFonts w:eastAsiaTheme="minorEastAsia"/>
                <w:sz w:val="18"/>
                <w:szCs w:val="18"/>
                <w:highlight w:val="none"/>
                <w:lang w:val="zh-CN"/>
              </w:rPr>
              <w:fldChar w:fldCharType="end"/>
            </w:r>
            <w:r>
              <w:rPr>
                <w:rFonts w:eastAsiaTheme="minorEastAsia"/>
                <w:sz w:val="18"/>
                <w:szCs w:val="18"/>
                <w:highlight w:val="none"/>
                <w:lang w:val="zh-CN"/>
              </w:rPr>
              <w:t>不组织，自行踏勘。</w:t>
            </w:r>
          </w:p>
          <w:p>
            <w:pPr>
              <w:autoSpaceDE w:val="0"/>
              <w:autoSpaceDN w:val="0"/>
              <w:rPr>
                <w:rFonts w:eastAsiaTheme="minorEastAsia"/>
                <w:sz w:val="18"/>
                <w:szCs w:val="18"/>
                <w:highlight w:val="none"/>
                <w:lang w:val="zh-CN"/>
              </w:rPr>
            </w:pPr>
            <w:r>
              <w:rPr>
                <w:rFonts w:eastAsiaTheme="minorEastAsia"/>
                <w:sz w:val="18"/>
                <w:szCs w:val="18"/>
                <w:highlight w:val="none"/>
                <w:lang w:val="zh-CN"/>
              </w:rPr>
              <w:t>□组织踏勘    时间：       集中踏勘地点：</w:t>
            </w:r>
          </w:p>
        </w:tc>
      </w:tr>
      <w:tr>
        <w:tblPrEx>
          <w:tblLayout w:type="fixed"/>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10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通知书澄清、修改截止时间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 xml:space="preserve">时间：递交响应文件截止之日 </w:t>
            </w:r>
            <w:r>
              <w:rPr>
                <w:rFonts w:eastAsiaTheme="minorEastAsia"/>
                <w:sz w:val="18"/>
                <w:szCs w:val="18"/>
                <w:highlight w:val="none"/>
              </w:rPr>
              <w:t>1</w:t>
            </w:r>
            <w:r>
              <w:rPr>
                <w:rFonts w:eastAsiaTheme="minorEastAsia"/>
                <w:sz w:val="18"/>
                <w:szCs w:val="18"/>
                <w:highlight w:val="none"/>
                <w:lang w:val="zh-CN"/>
              </w:rPr>
              <w:t xml:space="preserve"> 日前（以发出日期为准）。</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11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供应商确认收到通知书澄清、修改、补充的时间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自澄清公告发布时间起24小时内。</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12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保证金</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保证金金额：无。</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1</w:t>
            </w:r>
            <w:r>
              <w:rPr>
                <w:rFonts w:eastAsiaTheme="minorEastAsia"/>
                <w:sz w:val="18"/>
                <w:szCs w:val="18"/>
                <w:highlight w:val="none"/>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报价费用</w:t>
            </w:r>
          </w:p>
        </w:tc>
        <w:tc>
          <w:tcPr>
            <w:tcW w:w="715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eastAsiaTheme="minorEastAsia"/>
                <w:sz w:val="18"/>
                <w:szCs w:val="18"/>
                <w:highlight w:val="none"/>
                <w:lang w:val="zh-CN"/>
              </w:rPr>
            </w:pPr>
            <w:r>
              <w:rPr>
                <w:rFonts w:eastAsiaTheme="minorEastAsia"/>
                <w:sz w:val="18"/>
                <w:szCs w:val="18"/>
                <w:highlight w:val="none"/>
                <w:lang w:val="zh-CN"/>
              </w:rPr>
              <w:t>供应商应承担所有与准备和参加询比有关的费用。不论询比的结果如何，采购人无义务和责任承担这些费用。</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1</w:t>
            </w:r>
            <w:r>
              <w:rPr>
                <w:rFonts w:eastAsiaTheme="minorEastAsia"/>
                <w:sz w:val="18"/>
                <w:szCs w:val="18"/>
                <w:highlight w:val="none"/>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报价范围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服务费用包括招标文件印刷费、招标文件审查（如有）及评标会务费、评标专家费等一切与招标代理咨询服务相关的费用。</w:t>
            </w:r>
          </w:p>
        </w:tc>
      </w:tr>
      <w:tr>
        <w:tblPrEx>
          <w:tblLayout w:type="fixed"/>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15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是否允许递交备选报价方案</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fldChar w:fldCharType="begin"/>
            </w:r>
            <w:r>
              <w:rPr>
                <w:rFonts w:eastAsiaTheme="minorEastAsia"/>
                <w:sz w:val="18"/>
                <w:szCs w:val="18"/>
                <w:highlight w:val="none"/>
                <w:lang w:val="zh-CN"/>
              </w:rPr>
              <w:instrText xml:space="preserve"> eq \o\ac(□,√)</w:instrText>
            </w:r>
            <w:r>
              <w:rPr>
                <w:rFonts w:eastAsiaTheme="minorEastAsia"/>
                <w:sz w:val="18"/>
                <w:szCs w:val="18"/>
                <w:highlight w:val="none"/>
                <w:lang w:val="zh-CN"/>
              </w:rPr>
              <w:fldChar w:fldCharType="end"/>
            </w:r>
            <w:r>
              <w:rPr>
                <w:rFonts w:eastAsiaTheme="minorEastAsia"/>
                <w:sz w:val="18"/>
                <w:szCs w:val="18"/>
                <w:highlight w:val="none"/>
                <w:lang w:val="zh-CN"/>
              </w:rPr>
              <w:t>不允许。</w:t>
            </w:r>
          </w:p>
        </w:tc>
      </w:tr>
      <w:tr>
        <w:tblPrEx>
          <w:tblLayout w:type="fixed"/>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16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是否接受联合体报价</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fldChar w:fldCharType="begin"/>
            </w:r>
            <w:r>
              <w:rPr>
                <w:rFonts w:eastAsiaTheme="minorEastAsia"/>
                <w:sz w:val="18"/>
                <w:szCs w:val="18"/>
                <w:highlight w:val="none"/>
                <w:lang w:val="zh-CN"/>
              </w:rPr>
              <w:instrText xml:space="preserve"> eq \o\ac(□,√)</w:instrText>
            </w:r>
            <w:r>
              <w:rPr>
                <w:rFonts w:eastAsiaTheme="minorEastAsia"/>
                <w:sz w:val="18"/>
                <w:szCs w:val="18"/>
                <w:highlight w:val="none"/>
                <w:lang w:val="zh-CN"/>
              </w:rPr>
              <w:fldChar w:fldCharType="end"/>
            </w:r>
            <w:r>
              <w:rPr>
                <w:rFonts w:eastAsiaTheme="minorEastAsia"/>
                <w:sz w:val="18"/>
                <w:szCs w:val="18"/>
                <w:highlight w:val="none"/>
                <w:lang w:val="zh-CN"/>
              </w:rPr>
              <w:t>不接受。</w:t>
            </w:r>
          </w:p>
        </w:tc>
      </w:tr>
      <w:tr>
        <w:tblPrEx>
          <w:tblLayout w:type="fixed"/>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spacing w:line="440" w:lineRule="atLeast"/>
              <w:jc w:val="left"/>
              <w:rPr>
                <w:rFonts w:eastAsiaTheme="minorEastAsia"/>
                <w:sz w:val="18"/>
                <w:szCs w:val="18"/>
                <w:highlight w:val="none"/>
              </w:rPr>
            </w:pPr>
            <w:r>
              <w:rPr>
                <w:rFonts w:eastAsiaTheme="minorEastAsia"/>
                <w:sz w:val="18"/>
                <w:szCs w:val="18"/>
                <w:highlight w:val="none"/>
                <w:lang w:val="zh-CN"/>
              </w:rPr>
              <w:t>实质性要求和条件</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（1）响应文件按供应商须知规定,响应文件所需的全部文件齐全；</w:t>
            </w:r>
          </w:p>
          <w:p>
            <w:pPr>
              <w:autoSpaceDE w:val="0"/>
              <w:autoSpaceDN w:val="0"/>
              <w:rPr>
                <w:rFonts w:eastAsiaTheme="minorEastAsia"/>
                <w:sz w:val="18"/>
                <w:szCs w:val="18"/>
                <w:highlight w:val="none"/>
                <w:lang w:val="zh-CN"/>
              </w:rPr>
            </w:pPr>
            <w:r>
              <w:rPr>
                <w:rFonts w:eastAsiaTheme="minorEastAsia"/>
                <w:sz w:val="18"/>
                <w:szCs w:val="18"/>
                <w:highlight w:val="none"/>
                <w:lang w:val="zh-CN"/>
              </w:rPr>
              <w:t>（2）响应文件按照采购文件规定的格式、内容填写，字迹清晰可辨；</w:t>
            </w:r>
          </w:p>
          <w:p>
            <w:pPr>
              <w:autoSpaceDE w:val="0"/>
              <w:autoSpaceDN w:val="0"/>
              <w:rPr>
                <w:rFonts w:eastAsiaTheme="minorEastAsia"/>
                <w:sz w:val="18"/>
                <w:szCs w:val="18"/>
                <w:highlight w:val="none"/>
                <w:lang w:val="zh-CN"/>
              </w:rPr>
            </w:pPr>
            <w:r>
              <w:rPr>
                <w:rFonts w:eastAsiaTheme="minorEastAsia"/>
                <w:sz w:val="18"/>
                <w:szCs w:val="18"/>
                <w:highlight w:val="none"/>
                <w:lang w:val="zh-CN"/>
              </w:rPr>
              <w:t>（3）按采购文件规定对</w:t>
            </w:r>
            <w:r>
              <w:rPr>
                <w:rFonts w:eastAsiaTheme="minorEastAsia"/>
                <w:sz w:val="18"/>
                <w:szCs w:val="18"/>
                <w:highlight w:val="none"/>
              </w:rPr>
              <w:t>响应文件</w:t>
            </w:r>
            <w:r>
              <w:rPr>
                <w:rFonts w:eastAsiaTheme="minorEastAsia"/>
                <w:sz w:val="18"/>
                <w:szCs w:val="18"/>
                <w:highlight w:val="none"/>
                <w:lang w:val="zh-CN"/>
              </w:rPr>
              <w:t>报价函、法定代表人授权委托书、</w:t>
            </w:r>
            <w:r>
              <w:rPr>
                <w:rFonts w:eastAsiaTheme="minorEastAsia"/>
                <w:sz w:val="18"/>
                <w:szCs w:val="18"/>
                <w:highlight w:val="none"/>
              </w:rPr>
              <w:t>响应文件</w:t>
            </w:r>
            <w:r>
              <w:rPr>
                <w:rFonts w:eastAsiaTheme="minorEastAsia"/>
                <w:sz w:val="18"/>
                <w:szCs w:val="18"/>
                <w:highlight w:val="none"/>
                <w:lang w:val="zh-CN"/>
              </w:rPr>
              <w:t>报价表；</w:t>
            </w:r>
          </w:p>
          <w:p>
            <w:pPr>
              <w:autoSpaceDE w:val="0"/>
              <w:autoSpaceDN w:val="0"/>
              <w:rPr>
                <w:rFonts w:eastAsiaTheme="minorEastAsia"/>
                <w:sz w:val="18"/>
                <w:szCs w:val="18"/>
                <w:highlight w:val="none"/>
                <w:lang w:val="zh-CN"/>
              </w:rPr>
            </w:pPr>
            <w:r>
              <w:rPr>
                <w:rFonts w:eastAsiaTheme="minorEastAsia"/>
                <w:sz w:val="18"/>
                <w:szCs w:val="18"/>
                <w:highlight w:val="none"/>
                <w:lang w:val="zh-CN"/>
              </w:rPr>
              <w:t>（4）法定代表人出具了有效的授权委托书的（适用于授权代理人签署响应文件的情况）；</w:t>
            </w:r>
          </w:p>
          <w:p>
            <w:pPr>
              <w:autoSpaceDE w:val="0"/>
              <w:autoSpaceDN w:val="0"/>
              <w:rPr>
                <w:rFonts w:eastAsiaTheme="minorEastAsia"/>
                <w:sz w:val="18"/>
                <w:szCs w:val="18"/>
                <w:highlight w:val="none"/>
                <w:lang w:val="zh-CN"/>
              </w:rPr>
            </w:pPr>
            <w:r>
              <w:rPr>
                <w:rFonts w:eastAsiaTheme="minorEastAsia"/>
                <w:sz w:val="18"/>
                <w:szCs w:val="18"/>
                <w:highlight w:val="none"/>
                <w:lang w:val="zh-CN"/>
              </w:rPr>
              <w:t>（</w:t>
            </w:r>
            <w:r>
              <w:rPr>
                <w:rFonts w:eastAsiaTheme="minorEastAsia"/>
                <w:sz w:val="18"/>
                <w:szCs w:val="18"/>
                <w:highlight w:val="none"/>
              </w:rPr>
              <w:t>5</w:t>
            </w:r>
            <w:r>
              <w:rPr>
                <w:rFonts w:eastAsiaTheme="minorEastAsia"/>
                <w:sz w:val="18"/>
                <w:szCs w:val="18"/>
                <w:highlight w:val="none"/>
                <w:lang w:val="zh-CN"/>
              </w:rPr>
              <w:t>）未超出经营范围报价；</w:t>
            </w:r>
          </w:p>
          <w:p>
            <w:pPr>
              <w:autoSpaceDE w:val="0"/>
              <w:autoSpaceDN w:val="0"/>
              <w:rPr>
                <w:rFonts w:eastAsiaTheme="minorEastAsia"/>
                <w:sz w:val="18"/>
                <w:szCs w:val="18"/>
                <w:highlight w:val="none"/>
                <w:lang w:val="zh-CN"/>
              </w:rPr>
            </w:pPr>
            <w:r>
              <w:rPr>
                <w:rFonts w:eastAsiaTheme="minorEastAsia"/>
                <w:sz w:val="18"/>
                <w:szCs w:val="18"/>
                <w:highlight w:val="none"/>
                <w:lang w:val="zh-CN"/>
              </w:rPr>
              <w:t>（</w:t>
            </w:r>
            <w:r>
              <w:rPr>
                <w:rFonts w:eastAsiaTheme="minorEastAsia"/>
                <w:sz w:val="18"/>
                <w:szCs w:val="18"/>
                <w:highlight w:val="none"/>
              </w:rPr>
              <w:t>6</w:t>
            </w:r>
            <w:r>
              <w:rPr>
                <w:rFonts w:eastAsiaTheme="minorEastAsia"/>
                <w:sz w:val="18"/>
                <w:szCs w:val="18"/>
                <w:highlight w:val="none"/>
                <w:lang w:val="zh-CN"/>
              </w:rPr>
              <w:t>）响应技术指标、服务满足采购文件要求；</w:t>
            </w:r>
          </w:p>
          <w:p>
            <w:pPr>
              <w:autoSpaceDE w:val="0"/>
              <w:autoSpaceDN w:val="0"/>
              <w:rPr>
                <w:rFonts w:eastAsiaTheme="minorEastAsia"/>
                <w:sz w:val="18"/>
                <w:szCs w:val="18"/>
                <w:highlight w:val="none"/>
                <w:lang w:val="zh-CN"/>
              </w:rPr>
            </w:pPr>
            <w:r>
              <w:rPr>
                <w:rFonts w:eastAsiaTheme="minorEastAsia"/>
                <w:sz w:val="18"/>
                <w:szCs w:val="18"/>
                <w:highlight w:val="none"/>
                <w:lang w:val="zh-CN"/>
              </w:rPr>
              <w:t>（</w:t>
            </w:r>
            <w:r>
              <w:rPr>
                <w:rFonts w:eastAsiaTheme="minorEastAsia"/>
                <w:sz w:val="18"/>
                <w:szCs w:val="18"/>
                <w:highlight w:val="none"/>
              </w:rPr>
              <w:t>7</w:t>
            </w:r>
            <w:r>
              <w:rPr>
                <w:rFonts w:eastAsiaTheme="minorEastAsia"/>
                <w:sz w:val="18"/>
                <w:szCs w:val="18"/>
                <w:highlight w:val="none"/>
                <w:lang w:val="zh-CN"/>
              </w:rPr>
              <w:t>）响应的服务相符且满足采购要求；</w:t>
            </w:r>
          </w:p>
          <w:p>
            <w:pPr>
              <w:autoSpaceDE w:val="0"/>
              <w:autoSpaceDN w:val="0"/>
              <w:rPr>
                <w:rFonts w:eastAsiaTheme="minorEastAsia"/>
                <w:sz w:val="18"/>
                <w:szCs w:val="18"/>
                <w:highlight w:val="none"/>
                <w:lang w:val="zh-CN"/>
              </w:rPr>
            </w:pPr>
            <w:r>
              <w:rPr>
                <w:rFonts w:eastAsiaTheme="minorEastAsia"/>
                <w:sz w:val="18"/>
                <w:szCs w:val="18"/>
                <w:highlight w:val="none"/>
                <w:lang w:val="zh-CN"/>
              </w:rPr>
              <w:t>（</w:t>
            </w:r>
            <w:r>
              <w:rPr>
                <w:rFonts w:eastAsiaTheme="minorEastAsia"/>
                <w:sz w:val="18"/>
                <w:szCs w:val="18"/>
                <w:highlight w:val="none"/>
              </w:rPr>
              <w:t>8</w:t>
            </w:r>
            <w:r>
              <w:rPr>
                <w:rFonts w:eastAsiaTheme="minorEastAsia"/>
                <w:sz w:val="18"/>
                <w:szCs w:val="18"/>
                <w:highlight w:val="none"/>
                <w:lang w:val="zh-CN"/>
              </w:rPr>
              <w:t>）未出现采购人不能接受的条款（如支付条款、违约金条款等）。</w:t>
            </w:r>
          </w:p>
          <w:p>
            <w:pPr>
              <w:autoSpaceDE w:val="0"/>
              <w:autoSpaceDN w:val="0"/>
              <w:rPr>
                <w:rFonts w:eastAsiaTheme="minorEastAsia"/>
                <w:sz w:val="18"/>
                <w:szCs w:val="18"/>
                <w:highlight w:val="none"/>
              </w:rPr>
            </w:pPr>
            <w:r>
              <w:rPr>
                <w:rFonts w:eastAsiaTheme="minorEastAsia"/>
                <w:sz w:val="18"/>
                <w:szCs w:val="18"/>
                <w:highlight w:val="none"/>
                <w:lang w:val="zh-CN"/>
              </w:rPr>
              <w:t>（</w:t>
            </w:r>
            <w:r>
              <w:rPr>
                <w:rFonts w:eastAsiaTheme="minorEastAsia"/>
                <w:sz w:val="18"/>
                <w:szCs w:val="18"/>
                <w:highlight w:val="none"/>
              </w:rPr>
              <w:t>9</w:t>
            </w:r>
            <w:r>
              <w:rPr>
                <w:rFonts w:eastAsiaTheme="minorEastAsia"/>
                <w:sz w:val="18"/>
                <w:szCs w:val="18"/>
                <w:highlight w:val="none"/>
                <w:lang w:val="zh-CN"/>
              </w:rPr>
              <w:t>）在采购文件的响应文件格式中规定的签字和盖章处，供应商必须按要求签字或盖章。</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hint="eastAsia" w:eastAsiaTheme="minorEastAsia"/>
                <w:sz w:val="18"/>
                <w:szCs w:val="18"/>
                <w:highlight w:val="none"/>
                <w:lang w:val="en-US" w:eastAsia="zh-CN"/>
              </w:rPr>
              <w:t>18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响应有效期</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自响应文件递交截止之日起90日历天。</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递交响应文件时间、截止时间、地点及地址</w:t>
            </w:r>
          </w:p>
        </w:tc>
        <w:tc>
          <w:tcPr>
            <w:tcW w:w="7152" w:type="dxa"/>
            <w:tcBorders>
              <w:top w:val="single" w:color="auto" w:sz="6" w:space="0"/>
              <w:left w:val="single" w:color="auto" w:sz="6" w:space="0"/>
              <w:bottom w:val="single" w:color="auto" w:sz="6" w:space="0"/>
              <w:right w:val="single" w:color="auto" w:sz="6" w:space="0"/>
            </w:tcBorders>
            <w:vAlign w:val="center"/>
          </w:tcPr>
          <w:p>
            <w:pPr>
              <w:pStyle w:val="27"/>
              <w:autoSpaceDE w:val="0"/>
              <w:autoSpaceDN w:val="0"/>
              <w:ind w:firstLine="0" w:firstLineChars="0"/>
              <w:rPr>
                <w:rFonts w:ascii="Times New Roman" w:hAnsi="Times New Roman" w:eastAsiaTheme="minorEastAsia"/>
                <w:sz w:val="18"/>
                <w:szCs w:val="18"/>
                <w:highlight w:val="none"/>
                <w:lang w:val="zh-CN"/>
              </w:rPr>
            </w:pPr>
            <w:r>
              <w:rPr>
                <w:rFonts w:hint="eastAsia" w:ascii="Times New Roman" w:hAnsi="Times New Roman" w:eastAsiaTheme="minorEastAsia"/>
                <w:sz w:val="18"/>
                <w:szCs w:val="18"/>
                <w:highlight w:val="none"/>
                <w:lang w:val="zh-CN"/>
              </w:rPr>
              <w:t>响应</w:t>
            </w:r>
            <w:r>
              <w:rPr>
                <w:rFonts w:ascii="Times New Roman" w:hAnsi="Times New Roman" w:eastAsiaTheme="minorEastAsia"/>
                <w:sz w:val="18"/>
                <w:szCs w:val="18"/>
                <w:highlight w:val="none"/>
                <w:lang w:val="zh-CN"/>
              </w:rPr>
              <w:t>文件递交截止时间：2022年</w:t>
            </w:r>
            <w:r>
              <w:rPr>
                <w:rFonts w:hint="eastAsia" w:ascii="Times New Roman" w:hAnsi="Times New Roman" w:eastAsiaTheme="minorEastAsia"/>
                <w:sz w:val="18"/>
                <w:szCs w:val="18"/>
                <w:highlight w:val="none"/>
                <w:lang w:val="en-US" w:eastAsia="zh-CN"/>
              </w:rPr>
              <w:t xml:space="preserve"> 7 </w:t>
            </w:r>
            <w:r>
              <w:rPr>
                <w:rFonts w:ascii="Times New Roman" w:hAnsi="Times New Roman" w:eastAsiaTheme="minorEastAsia"/>
                <w:sz w:val="18"/>
                <w:szCs w:val="18"/>
                <w:highlight w:val="none"/>
                <w:lang w:val="zh-CN"/>
              </w:rPr>
              <w:t>月</w:t>
            </w:r>
            <w:r>
              <w:rPr>
                <w:rFonts w:hint="eastAsia" w:ascii="Times New Roman" w:hAnsi="Times New Roman" w:eastAsiaTheme="minorEastAsia"/>
                <w:sz w:val="18"/>
                <w:szCs w:val="18"/>
                <w:highlight w:val="none"/>
                <w:lang w:val="en-US" w:eastAsia="zh-CN"/>
              </w:rPr>
              <w:t xml:space="preserve"> 21 </w:t>
            </w:r>
            <w:r>
              <w:rPr>
                <w:rFonts w:ascii="Times New Roman" w:hAnsi="Times New Roman" w:eastAsiaTheme="minorEastAsia"/>
                <w:sz w:val="18"/>
                <w:szCs w:val="18"/>
                <w:highlight w:val="none"/>
                <w:lang w:val="zh-CN"/>
              </w:rPr>
              <w:t>日</w:t>
            </w:r>
            <w:r>
              <w:rPr>
                <w:rFonts w:hint="eastAsia" w:ascii="Times New Roman" w:hAnsi="Times New Roman" w:eastAsiaTheme="minorEastAsia"/>
                <w:sz w:val="18"/>
                <w:szCs w:val="18"/>
                <w:highlight w:val="none"/>
                <w:lang w:val="en-US" w:eastAsia="zh-CN"/>
              </w:rPr>
              <w:t xml:space="preserve"> 09 </w:t>
            </w:r>
            <w:r>
              <w:rPr>
                <w:rFonts w:ascii="Times New Roman" w:hAnsi="Times New Roman" w:eastAsiaTheme="minorEastAsia"/>
                <w:sz w:val="18"/>
                <w:szCs w:val="18"/>
                <w:highlight w:val="none"/>
                <w:lang w:val="zh-CN"/>
              </w:rPr>
              <w:t>时</w:t>
            </w:r>
            <w:r>
              <w:rPr>
                <w:rFonts w:hint="eastAsia" w:ascii="Times New Roman" w:hAnsi="Times New Roman" w:eastAsiaTheme="minorEastAsia"/>
                <w:sz w:val="18"/>
                <w:szCs w:val="18"/>
                <w:highlight w:val="none"/>
                <w:lang w:val="en-US" w:eastAsia="zh-CN"/>
              </w:rPr>
              <w:t xml:space="preserve"> 00</w:t>
            </w:r>
            <w:r>
              <w:rPr>
                <w:rFonts w:ascii="Times New Roman" w:hAnsi="Times New Roman" w:eastAsiaTheme="minorEastAsia"/>
                <w:sz w:val="18"/>
                <w:szCs w:val="18"/>
                <w:highlight w:val="none"/>
                <w:lang w:val="zh-CN"/>
              </w:rPr>
              <w:t>分截止，逾期不予接受。</w:t>
            </w:r>
          </w:p>
          <w:p>
            <w:pPr>
              <w:pStyle w:val="27"/>
              <w:autoSpaceDE w:val="0"/>
              <w:autoSpaceDN w:val="0"/>
              <w:ind w:firstLine="0" w:firstLineChars="0"/>
              <w:rPr>
                <w:rFonts w:ascii="Times New Roman" w:hAnsi="Times New Roman" w:eastAsiaTheme="minorEastAsia"/>
                <w:sz w:val="18"/>
                <w:szCs w:val="18"/>
                <w:highlight w:val="none"/>
                <w:lang w:val="zh-CN"/>
              </w:rPr>
            </w:pPr>
            <w:r>
              <w:rPr>
                <w:rFonts w:ascii="Times New Roman" w:hAnsi="Times New Roman" w:eastAsiaTheme="minorEastAsia"/>
                <w:sz w:val="18"/>
                <w:szCs w:val="18"/>
                <w:highlight w:val="none"/>
                <w:lang w:val="zh-CN"/>
              </w:rPr>
              <w:t>递交地点：杭州市拱墅区文晖路303号浙江交通大楼12楼</w:t>
            </w:r>
            <w:r>
              <w:rPr>
                <w:rFonts w:hint="eastAsia" w:ascii="Times New Roman" w:hAnsi="Times New Roman" w:eastAsiaTheme="minorEastAsia"/>
                <w:sz w:val="18"/>
                <w:szCs w:val="18"/>
                <w:highlight w:val="none"/>
                <w:lang w:val="zh-CN"/>
              </w:rPr>
              <w:t>企业发展部。</w:t>
            </w:r>
          </w:p>
          <w:p>
            <w:pPr>
              <w:pStyle w:val="27"/>
              <w:autoSpaceDE w:val="0"/>
              <w:autoSpaceDN w:val="0"/>
              <w:ind w:firstLine="0" w:firstLineChars="0"/>
              <w:rPr>
                <w:rFonts w:ascii="Times New Roman" w:hAnsi="Times New Roman" w:eastAsiaTheme="minorEastAsia"/>
                <w:sz w:val="18"/>
                <w:szCs w:val="18"/>
                <w:highlight w:val="none"/>
                <w:lang w:val="zh-CN"/>
              </w:rPr>
            </w:pPr>
            <w:r>
              <w:rPr>
                <w:rFonts w:ascii="Times New Roman" w:hAnsi="Times New Roman" w:eastAsiaTheme="minorEastAsia"/>
                <w:sz w:val="18"/>
                <w:szCs w:val="18"/>
                <w:highlight w:val="none"/>
                <w:lang w:val="zh-CN"/>
              </w:rPr>
              <w:t>注：</w:t>
            </w:r>
            <w:r>
              <w:rPr>
                <w:rFonts w:hint="eastAsia" w:ascii="Times New Roman" w:hAnsi="Times New Roman" w:eastAsiaTheme="minorEastAsia"/>
                <w:sz w:val="18"/>
                <w:szCs w:val="18"/>
                <w:highlight w:val="none"/>
                <w:lang w:val="zh-CN"/>
              </w:rPr>
              <w:t>逾期送达或未送达指定地点的响应文件，将予以拒收（或作无效处理），需方均有权不受理。</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2</w:t>
            </w:r>
            <w:r>
              <w:rPr>
                <w:rFonts w:hint="eastAsia" w:eastAsiaTheme="minorEastAsia"/>
                <w:sz w:val="18"/>
                <w:szCs w:val="18"/>
                <w:highlight w:val="none"/>
                <w:lang w:val="en-US" w:eastAsia="zh-CN"/>
              </w:rPr>
              <w:t>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响应文件是否退还</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不退还。</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响应文件开启时间、地点</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开启时间：</w:t>
            </w:r>
            <w:r>
              <w:rPr>
                <w:rFonts w:eastAsiaTheme="minorEastAsia"/>
                <w:sz w:val="18"/>
                <w:szCs w:val="18"/>
                <w:highlight w:val="none"/>
                <w:u w:val="single"/>
                <w:lang w:val="zh-CN"/>
              </w:rPr>
              <w:t xml:space="preserve"> 2022 年</w:t>
            </w:r>
            <w:r>
              <w:rPr>
                <w:rFonts w:hint="eastAsia" w:eastAsiaTheme="minorEastAsia"/>
                <w:sz w:val="18"/>
                <w:szCs w:val="18"/>
                <w:highlight w:val="none"/>
                <w:u w:val="single"/>
                <w:lang w:val="en-US" w:eastAsia="zh-CN"/>
              </w:rPr>
              <w:t xml:space="preserve"> 7  </w:t>
            </w:r>
            <w:r>
              <w:rPr>
                <w:rFonts w:eastAsiaTheme="minorEastAsia"/>
                <w:sz w:val="18"/>
                <w:szCs w:val="18"/>
                <w:highlight w:val="none"/>
                <w:u w:val="single"/>
                <w:lang w:val="zh-CN"/>
              </w:rPr>
              <w:t>月</w:t>
            </w:r>
            <w:r>
              <w:rPr>
                <w:rFonts w:hint="eastAsia" w:eastAsiaTheme="minorEastAsia"/>
                <w:sz w:val="18"/>
                <w:szCs w:val="18"/>
                <w:highlight w:val="none"/>
                <w:u w:val="single"/>
                <w:lang w:val="en-US" w:eastAsia="zh-CN"/>
              </w:rPr>
              <w:t xml:space="preserve"> 21 </w:t>
            </w:r>
            <w:r>
              <w:rPr>
                <w:rFonts w:eastAsiaTheme="minorEastAsia"/>
                <w:sz w:val="18"/>
                <w:szCs w:val="18"/>
                <w:highlight w:val="none"/>
                <w:u w:val="single"/>
                <w:lang w:val="zh-CN"/>
              </w:rPr>
              <w:t>日</w:t>
            </w:r>
            <w:r>
              <w:rPr>
                <w:rFonts w:hint="eastAsia" w:eastAsiaTheme="minorEastAsia"/>
                <w:sz w:val="18"/>
                <w:szCs w:val="18"/>
                <w:highlight w:val="none"/>
                <w:u w:val="single"/>
                <w:lang w:val="en-US" w:eastAsia="zh-CN"/>
              </w:rPr>
              <w:t xml:space="preserve"> 09  </w:t>
            </w:r>
            <w:r>
              <w:rPr>
                <w:rFonts w:eastAsiaTheme="minorEastAsia"/>
                <w:sz w:val="18"/>
                <w:szCs w:val="18"/>
                <w:highlight w:val="none"/>
                <w:u w:val="single"/>
                <w:lang w:val="zh-CN"/>
              </w:rPr>
              <w:t>时</w:t>
            </w:r>
            <w:r>
              <w:rPr>
                <w:rFonts w:hint="eastAsia" w:eastAsiaTheme="minorEastAsia"/>
                <w:sz w:val="18"/>
                <w:szCs w:val="18"/>
                <w:highlight w:val="none"/>
                <w:u w:val="single"/>
                <w:lang w:val="en-US" w:eastAsia="zh-CN"/>
              </w:rPr>
              <w:t xml:space="preserve">  30  </w:t>
            </w:r>
            <w:r>
              <w:rPr>
                <w:rFonts w:eastAsiaTheme="minorEastAsia"/>
                <w:sz w:val="18"/>
                <w:szCs w:val="18"/>
                <w:highlight w:val="none"/>
                <w:u w:val="single"/>
                <w:lang w:val="zh-CN"/>
              </w:rPr>
              <w:t>分</w:t>
            </w:r>
            <w:r>
              <w:rPr>
                <w:rFonts w:eastAsiaTheme="minorEastAsia"/>
                <w:sz w:val="18"/>
                <w:szCs w:val="18"/>
                <w:highlight w:val="none"/>
                <w:lang w:val="zh-CN"/>
              </w:rPr>
              <w:t>；</w:t>
            </w:r>
          </w:p>
          <w:p>
            <w:pPr>
              <w:autoSpaceDE w:val="0"/>
              <w:autoSpaceDN w:val="0"/>
              <w:rPr>
                <w:rFonts w:eastAsiaTheme="minorEastAsia"/>
                <w:sz w:val="18"/>
                <w:szCs w:val="18"/>
                <w:highlight w:val="none"/>
                <w:lang w:val="zh-CN"/>
              </w:rPr>
            </w:pPr>
            <w:r>
              <w:rPr>
                <w:rFonts w:eastAsiaTheme="minorEastAsia"/>
                <w:sz w:val="18"/>
                <w:szCs w:val="18"/>
                <w:highlight w:val="none"/>
                <w:lang w:val="zh-CN"/>
              </w:rPr>
              <w:t>询比地点：杭州市拱墅区文晖路303号浙江交通大楼12楼会议室。</w:t>
            </w:r>
          </w:p>
        </w:tc>
      </w:tr>
      <w:tr>
        <w:tblPrEx>
          <w:tblLayout w:type="fixed"/>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2</w:t>
            </w:r>
            <w:r>
              <w:rPr>
                <w:rFonts w:hint="eastAsia" w:eastAsiaTheme="minorEastAsia"/>
                <w:sz w:val="18"/>
                <w:szCs w:val="18"/>
                <w:highlight w:val="none"/>
                <w:lang w:val="en-US" w:eastAsia="zh-CN"/>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响应文件密封性检查</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由采购监督管理部门人员检查所有响应文件的密封情况。</w:t>
            </w:r>
          </w:p>
        </w:tc>
      </w:tr>
      <w:tr>
        <w:tblPrEx>
          <w:tblLayout w:type="fixed"/>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2</w:t>
            </w:r>
            <w:r>
              <w:rPr>
                <w:rFonts w:hint="eastAsia" w:eastAsiaTheme="minorEastAsia"/>
                <w:sz w:val="18"/>
                <w:szCs w:val="18"/>
                <w:highlight w:val="none"/>
                <w:lang w:val="en-US" w:eastAsia="zh-CN"/>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评审小组</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评审小组构成：</w:t>
            </w:r>
            <w:r>
              <w:rPr>
                <w:rFonts w:hint="eastAsia" w:eastAsiaTheme="minorEastAsia"/>
                <w:sz w:val="18"/>
                <w:szCs w:val="18"/>
                <w:highlight w:val="none"/>
                <w:lang w:val="en-US" w:eastAsia="zh-CN"/>
              </w:rPr>
              <w:t>3</w:t>
            </w:r>
            <w:r>
              <w:rPr>
                <w:rFonts w:eastAsiaTheme="minorEastAsia"/>
                <w:sz w:val="18"/>
                <w:szCs w:val="18"/>
                <w:highlight w:val="none"/>
                <w:lang w:val="zh-CN"/>
              </w:rPr>
              <w:t xml:space="preserve"> 人。</w:t>
            </w:r>
          </w:p>
        </w:tc>
      </w:tr>
      <w:tr>
        <w:tblPrEx>
          <w:tblLayout w:type="fixed"/>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rPr>
              <w:t>2</w:t>
            </w:r>
            <w:r>
              <w:rPr>
                <w:rFonts w:hint="eastAsia" w:eastAsiaTheme="minorEastAsia"/>
                <w:sz w:val="18"/>
                <w:szCs w:val="18"/>
                <w:highlight w:val="none"/>
                <w:lang w:val="en-US" w:eastAsia="zh-CN"/>
              </w:rPr>
              <w:t>4</w:t>
            </w:r>
          </w:p>
        </w:tc>
        <w:tc>
          <w:tcPr>
            <w:tcW w:w="2062" w:type="dxa"/>
            <w:tcBorders>
              <w:top w:val="single" w:color="auto" w:sz="6" w:space="0"/>
              <w:left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评审办法</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rPr>
              <w:sym w:font="Wingdings" w:char="F0FE"/>
            </w:r>
            <w:r>
              <w:rPr>
                <w:rFonts w:eastAsiaTheme="minorEastAsia"/>
                <w:sz w:val="18"/>
                <w:szCs w:val="18"/>
                <w:highlight w:val="none"/>
                <w:lang w:val="zh-CN"/>
              </w:rPr>
              <w:t>综合评分法</w:t>
            </w:r>
          </w:p>
          <w:p>
            <w:pPr>
              <w:autoSpaceDE w:val="0"/>
              <w:autoSpaceDN w:val="0"/>
              <w:rPr>
                <w:rFonts w:eastAsiaTheme="minorEastAsia"/>
                <w:sz w:val="18"/>
                <w:szCs w:val="18"/>
                <w:highlight w:val="none"/>
                <w:lang w:val="zh-CN"/>
              </w:rPr>
            </w:pPr>
            <w:r>
              <w:rPr>
                <w:rFonts w:eastAsiaTheme="minorEastAsia"/>
                <w:sz w:val="18"/>
                <w:szCs w:val="18"/>
                <w:highlight w:val="none"/>
              </w:rPr>
              <w:sym w:font="Wingdings" w:char="F0A8"/>
            </w:r>
            <w:r>
              <w:rPr>
                <w:rFonts w:eastAsiaTheme="minorEastAsia"/>
                <w:sz w:val="18"/>
                <w:szCs w:val="18"/>
                <w:highlight w:val="none"/>
                <w:lang w:val="zh-CN"/>
              </w:rPr>
              <w:t>经评审的最低价法（费率最低）（即在全部满足询比文件实质性要求的前提下，依据统一的价格（费率）要素评定评议价。）</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2</w:t>
            </w:r>
            <w:r>
              <w:rPr>
                <w:rFonts w:hint="eastAsia" w:eastAsiaTheme="minorEastAsia"/>
                <w:sz w:val="18"/>
                <w:szCs w:val="18"/>
                <w:highlight w:val="none"/>
                <w:lang w:val="en-US" w:eastAsia="zh-CN"/>
              </w:rPr>
              <w:t>5</w:t>
            </w:r>
          </w:p>
        </w:tc>
        <w:tc>
          <w:tcPr>
            <w:tcW w:w="2062" w:type="dxa"/>
            <w:tcBorders>
              <w:top w:val="single" w:color="auto" w:sz="6" w:space="0"/>
              <w:left w:val="single" w:color="auto" w:sz="6" w:space="0"/>
              <w:bottom w:val="single" w:color="auto" w:sz="6" w:space="0"/>
              <w:right w:val="single" w:color="auto" w:sz="6" w:space="0"/>
            </w:tcBorders>
          </w:tcPr>
          <w:p>
            <w:pPr>
              <w:rPr>
                <w:rFonts w:eastAsiaTheme="minorEastAsia"/>
                <w:sz w:val="18"/>
                <w:szCs w:val="18"/>
                <w:highlight w:val="none"/>
                <w:lang w:val="zh-CN"/>
              </w:rPr>
            </w:pPr>
            <w:r>
              <w:rPr>
                <w:rFonts w:eastAsiaTheme="minorEastAsia"/>
                <w:sz w:val="18"/>
                <w:szCs w:val="18"/>
                <w:highlight w:val="none"/>
                <w:lang w:val="zh-CN"/>
              </w:rPr>
              <w:t>评审专家会推荐中选候选人的人数</w:t>
            </w:r>
          </w:p>
        </w:tc>
        <w:tc>
          <w:tcPr>
            <w:tcW w:w="7152" w:type="dxa"/>
            <w:tcBorders>
              <w:top w:val="single" w:color="auto" w:sz="6" w:space="0"/>
              <w:left w:val="single" w:color="auto" w:sz="6" w:space="0"/>
              <w:bottom w:val="single" w:color="auto" w:sz="6" w:space="0"/>
              <w:right w:val="single" w:color="auto" w:sz="6" w:space="0"/>
            </w:tcBorders>
          </w:tcPr>
          <w:p>
            <w:pPr>
              <w:rPr>
                <w:rFonts w:eastAsiaTheme="minorEastAsia"/>
                <w:sz w:val="18"/>
                <w:szCs w:val="18"/>
                <w:highlight w:val="none"/>
                <w:lang w:val="zh-CN"/>
              </w:rPr>
            </w:pPr>
            <w:r>
              <w:rPr>
                <w:rFonts w:eastAsiaTheme="minorEastAsia"/>
                <w:sz w:val="18"/>
                <w:szCs w:val="18"/>
                <w:highlight w:val="none"/>
                <w:lang w:val="zh-CN"/>
              </w:rPr>
              <w:t>1人</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2</w:t>
            </w:r>
            <w:r>
              <w:rPr>
                <w:rFonts w:hint="eastAsia" w:eastAsiaTheme="minorEastAsia"/>
                <w:sz w:val="18"/>
                <w:szCs w:val="18"/>
                <w:highlight w:val="none"/>
                <w:lang w:val="en-US" w:eastAsia="zh-CN"/>
              </w:rPr>
              <w:t>6</w:t>
            </w:r>
          </w:p>
        </w:tc>
        <w:tc>
          <w:tcPr>
            <w:tcW w:w="206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lang w:val="zh-CN"/>
              </w:rPr>
            </w:pPr>
            <w:r>
              <w:rPr>
                <w:rFonts w:eastAsiaTheme="minorEastAsia"/>
                <w:sz w:val="18"/>
                <w:szCs w:val="18"/>
                <w:highlight w:val="none"/>
                <w:lang w:val="zh-CN"/>
              </w:rPr>
              <w:t>履约保证金</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lang w:val="zh-CN"/>
              </w:rPr>
            </w:pPr>
            <w:r>
              <w:rPr>
                <w:rFonts w:eastAsiaTheme="minorEastAsia"/>
                <w:sz w:val="18"/>
                <w:szCs w:val="18"/>
                <w:highlight w:val="none"/>
                <w:lang w:val="zh-CN"/>
              </w:rPr>
              <w:t>无</w:t>
            </w:r>
          </w:p>
        </w:tc>
      </w:tr>
      <w:tr>
        <w:tblPrEx>
          <w:tblLayout w:type="fixed"/>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二次采购和成交通知</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lang w:val="zh-CN"/>
              </w:rPr>
            </w:pPr>
            <w:r>
              <w:rPr>
                <w:rFonts w:eastAsiaTheme="minorEastAsia"/>
                <w:sz w:val="18"/>
                <w:szCs w:val="18"/>
                <w:highlight w:val="none"/>
                <w:lang w:val="zh-CN"/>
              </w:rPr>
              <w:t>若有效报价不足3家，采购人有权终止评审另行选择采购方式。</w:t>
            </w:r>
          </w:p>
          <w:p>
            <w:pPr>
              <w:rPr>
                <w:rFonts w:eastAsiaTheme="minorEastAsia"/>
                <w:sz w:val="18"/>
                <w:szCs w:val="18"/>
                <w:highlight w:val="none"/>
                <w:lang w:val="zh-CN"/>
              </w:rPr>
            </w:pPr>
            <w:r>
              <w:rPr>
                <w:rFonts w:eastAsiaTheme="minorEastAsia"/>
                <w:sz w:val="18"/>
                <w:szCs w:val="18"/>
                <w:highlight w:val="none"/>
                <w:lang w:val="zh-CN"/>
              </w:rPr>
              <w:t>否决不合格供应商后，如有效响应文件不足三家的，评审小组应对剩余供应商的响应文件是否具有竞争性进行评判。如经评审小组确认剩余供应商的响应文件仍具备竞争性的，评审小组可继续评审；如评审小组确认剩余供应商的响应文件不具备竞争性的，评审小组应否决全部响应文件。</w:t>
            </w:r>
          </w:p>
        </w:tc>
      </w:tr>
      <w:tr>
        <w:tblPrEx>
          <w:tblLayout w:type="fixed"/>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签订合同</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采购人和中选人应当在中选通知书发出之日起 30 日内，根据询比采购文件和中选人的响应报价文件订立书面合同。</w:t>
            </w:r>
          </w:p>
        </w:tc>
      </w:tr>
      <w:tr>
        <w:tblPrEx>
          <w:tblLayout w:type="fixed"/>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29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lang w:val="zh-CN"/>
              </w:rPr>
              <w:t>监督</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highlight w:val="none"/>
                <w:lang w:val="zh-CN"/>
              </w:rPr>
            </w:pPr>
            <w:r>
              <w:rPr>
                <w:rFonts w:eastAsiaTheme="minorEastAsia"/>
                <w:sz w:val="18"/>
                <w:szCs w:val="18"/>
                <w:highlight w:val="none"/>
                <w:lang w:val="zh-CN"/>
              </w:rPr>
              <w:t>本项目的采购活动以及相关当事人应当接受</w:t>
            </w:r>
            <w:r>
              <w:rPr>
                <w:rFonts w:hint="eastAsia" w:eastAsiaTheme="minorEastAsia"/>
                <w:sz w:val="18"/>
                <w:szCs w:val="18"/>
                <w:highlight w:val="none"/>
                <w:lang w:val="zh-CN"/>
              </w:rPr>
              <w:t>浙铁</w:t>
            </w:r>
            <w:r>
              <w:rPr>
                <w:rFonts w:eastAsiaTheme="minorEastAsia"/>
                <w:sz w:val="18"/>
                <w:szCs w:val="18"/>
                <w:highlight w:val="none"/>
                <w:lang w:val="zh-CN"/>
              </w:rPr>
              <w:t>集团纪检监督部门的监督。</w:t>
            </w:r>
          </w:p>
        </w:tc>
      </w:tr>
      <w:tr>
        <w:tblPrEx>
          <w:tblLayout w:type="fixed"/>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highlight w:val="none"/>
                <w:lang w:val="zh-CN"/>
              </w:rPr>
            </w:pPr>
            <w:r>
              <w:rPr>
                <w:rFonts w:eastAsiaTheme="minorEastAsia"/>
                <w:sz w:val="18"/>
                <w:szCs w:val="18"/>
                <w:highlight w:val="none"/>
                <w:lang w:val="zh-CN"/>
              </w:rPr>
              <w:t>3</w:t>
            </w:r>
            <w:r>
              <w:rPr>
                <w:rFonts w:hint="eastAsia" w:eastAsiaTheme="minorEastAsia"/>
                <w:sz w:val="18"/>
                <w:szCs w:val="18"/>
                <w:highlight w:val="none"/>
                <w:lang w:val="en-US" w:eastAsia="zh-CN"/>
              </w:rPr>
              <w:t>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lang w:val="zh-CN"/>
              </w:rPr>
            </w:pPr>
            <w:r>
              <w:rPr>
                <w:rFonts w:eastAsiaTheme="minorEastAsia"/>
                <w:sz w:val="18"/>
                <w:szCs w:val="18"/>
                <w:highlight w:val="none"/>
              </w:rPr>
              <w:t>否决响应文件的情形</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highlight w:val="none"/>
              </w:rPr>
            </w:pPr>
            <w:r>
              <w:rPr>
                <w:rFonts w:eastAsiaTheme="minorEastAsia"/>
                <w:sz w:val="18"/>
                <w:szCs w:val="18"/>
                <w:highlight w:val="none"/>
              </w:rPr>
              <w:t>响应文件存在以下情形之一的，其响应文件将被否决：</w:t>
            </w:r>
          </w:p>
          <w:p>
            <w:pPr>
              <w:autoSpaceDE w:val="0"/>
              <w:autoSpaceDN w:val="0"/>
              <w:rPr>
                <w:rFonts w:eastAsiaTheme="minorEastAsia"/>
                <w:sz w:val="18"/>
                <w:szCs w:val="18"/>
                <w:highlight w:val="none"/>
              </w:rPr>
            </w:pPr>
            <w:r>
              <w:rPr>
                <w:rFonts w:eastAsiaTheme="minorEastAsia"/>
                <w:sz w:val="18"/>
                <w:szCs w:val="18"/>
                <w:highlight w:val="none"/>
                <w:lang w:val="zh-CN"/>
              </w:rPr>
              <w:t>（1）</w:t>
            </w:r>
            <w:r>
              <w:rPr>
                <w:rFonts w:eastAsiaTheme="minorEastAsia"/>
                <w:sz w:val="18"/>
                <w:szCs w:val="18"/>
                <w:highlight w:val="none"/>
              </w:rPr>
              <w:t>在响应文件递交截止时间以后送达的响应文件。</w:t>
            </w:r>
          </w:p>
          <w:p>
            <w:pPr>
              <w:rPr>
                <w:rFonts w:eastAsiaTheme="minorEastAsia"/>
                <w:sz w:val="18"/>
                <w:szCs w:val="18"/>
                <w:highlight w:val="none"/>
              </w:rPr>
            </w:pPr>
            <w:r>
              <w:rPr>
                <w:rFonts w:eastAsiaTheme="minorEastAsia"/>
                <w:sz w:val="18"/>
                <w:szCs w:val="18"/>
                <w:highlight w:val="none"/>
                <w:lang w:val="zh-CN"/>
              </w:rPr>
              <w:t>（2）</w:t>
            </w:r>
            <w:r>
              <w:rPr>
                <w:rFonts w:eastAsiaTheme="minorEastAsia"/>
                <w:sz w:val="18"/>
                <w:szCs w:val="18"/>
                <w:highlight w:val="none"/>
              </w:rPr>
              <w:t>应盖而未盖公章或非响应方公章的；未装订、未密封；未有效授权、文件填写不完整或有涂改的响应文件。</w:t>
            </w:r>
          </w:p>
          <w:p>
            <w:pPr>
              <w:pStyle w:val="2"/>
              <w:spacing w:after="0"/>
              <w:ind w:firstLine="0" w:firstLineChars="0"/>
              <w:rPr>
                <w:rFonts w:ascii="Times New Roman" w:hAnsi="Times New Roman" w:eastAsiaTheme="minorEastAsia"/>
                <w:sz w:val="18"/>
                <w:szCs w:val="18"/>
                <w:highlight w:val="none"/>
              </w:rPr>
            </w:pPr>
            <w:r>
              <w:rPr>
                <w:rFonts w:ascii="Times New Roman" w:hAnsi="Times New Roman" w:eastAsiaTheme="minorEastAsia"/>
                <w:sz w:val="18"/>
                <w:szCs w:val="18"/>
                <w:highlight w:val="none"/>
                <w:lang w:val="zh-CN"/>
              </w:rPr>
              <w:t>（3）</w:t>
            </w:r>
            <w:r>
              <w:rPr>
                <w:rFonts w:ascii="Times New Roman" w:hAnsi="Times New Roman" w:eastAsiaTheme="minorEastAsia"/>
                <w:sz w:val="18"/>
                <w:szCs w:val="18"/>
                <w:highlight w:val="none"/>
              </w:rPr>
              <w:t>与采购文件有重大偏离及不完全响应采购文件的响应文件。</w:t>
            </w:r>
          </w:p>
          <w:p>
            <w:pPr>
              <w:pStyle w:val="2"/>
              <w:spacing w:after="0"/>
              <w:ind w:firstLine="0" w:firstLineChars="0"/>
              <w:rPr>
                <w:rFonts w:ascii="Times New Roman" w:hAnsi="Times New Roman" w:eastAsiaTheme="minorEastAsia"/>
                <w:sz w:val="18"/>
                <w:szCs w:val="18"/>
                <w:highlight w:val="none"/>
                <w:lang w:val="zh-CN"/>
              </w:rPr>
            </w:pPr>
            <w:r>
              <w:rPr>
                <w:rFonts w:ascii="Times New Roman" w:hAnsi="Times New Roman" w:eastAsiaTheme="minorEastAsia"/>
                <w:sz w:val="18"/>
                <w:szCs w:val="18"/>
                <w:highlight w:val="none"/>
              </w:rPr>
              <w:t>（4）</w:t>
            </w:r>
            <w:r>
              <w:rPr>
                <w:rFonts w:ascii="Times New Roman" w:hAnsi="Times New Roman" w:eastAsiaTheme="minorEastAsia"/>
                <w:sz w:val="18"/>
                <w:szCs w:val="18"/>
                <w:highlight w:val="none"/>
                <w:lang w:val="zh-CN"/>
              </w:rPr>
              <w:t>响应文件未通过资格审查。</w:t>
            </w:r>
          </w:p>
          <w:p>
            <w:pPr>
              <w:rPr>
                <w:rFonts w:eastAsiaTheme="minorEastAsia"/>
                <w:sz w:val="18"/>
                <w:szCs w:val="18"/>
                <w:highlight w:val="none"/>
              </w:rPr>
            </w:pPr>
            <w:r>
              <w:rPr>
                <w:rFonts w:eastAsiaTheme="minorEastAsia"/>
                <w:sz w:val="18"/>
                <w:szCs w:val="18"/>
                <w:highlight w:val="none"/>
              </w:rPr>
              <w:t>（5）响应报价高于最高预算限价。</w:t>
            </w:r>
          </w:p>
          <w:p>
            <w:pPr>
              <w:pStyle w:val="2"/>
              <w:spacing w:after="0"/>
              <w:ind w:firstLine="0" w:firstLineChars="0"/>
              <w:rPr>
                <w:rFonts w:ascii="Times New Roman" w:hAnsi="Times New Roman" w:eastAsiaTheme="minorEastAsia"/>
                <w:highlight w:val="none"/>
              </w:rPr>
            </w:pPr>
            <w:r>
              <w:rPr>
                <w:rFonts w:ascii="Times New Roman" w:hAnsi="Times New Roman" w:eastAsiaTheme="minorEastAsia"/>
                <w:sz w:val="18"/>
                <w:szCs w:val="18"/>
                <w:highlight w:val="none"/>
              </w:rPr>
              <w:t>（6）不符合法律、法规和采购文件规定的其他实质性要求的。</w:t>
            </w:r>
          </w:p>
        </w:tc>
      </w:tr>
    </w:tbl>
    <w:p>
      <w:pPr>
        <w:jc w:val="center"/>
        <w:outlineLvl w:val="0"/>
        <w:rPr>
          <w:rFonts w:eastAsia="黑体"/>
          <w:sz w:val="32"/>
          <w:szCs w:val="32"/>
          <w:highlight w:val="none"/>
        </w:rPr>
      </w:pPr>
      <w:bookmarkStart w:id="8" w:name="_Toc103178527"/>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jc w:val="center"/>
        <w:outlineLvl w:val="0"/>
        <w:rPr>
          <w:rFonts w:eastAsia="黑体"/>
          <w:sz w:val="32"/>
          <w:szCs w:val="32"/>
          <w:highlight w:val="none"/>
        </w:rPr>
      </w:pPr>
    </w:p>
    <w:p>
      <w:pPr>
        <w:pStyle w:val="2"/>
        <w:ind w:left="0" w:leftChars="0" w:firstLine="0" w:firstLineChars="0"/>
        <w:rPr>
          <w:rFonts w:eastAsia="黑体"/>
          <w:sz w:val="32"/>
          <w:szCs w:val="32"/>
          <w:highlight w:val="none"/>
        </w:rPr>
      </w:pPr>
    </w:p>
    <w:p/>
    <w:p/>
    <w:p>
      <w:pPr>
        <w:jc w:val="center"/>
        <w:outlineLvl w:val="0"/>
        <w:rPr>
          <w:rFonts w:eastAsia="黑体"/>
          <w:sz w:val="32"/>
          <w:szCs w:val="32"/>
          <w:highlight w:val="none"/>
        </w:rPr>
        <w:sectPr>
          <w:footerReference r:id="rId4" w:type="first"/>
          <w:footerReference r:id="rId3" w:type="default"/>
          <w:pgSz w:w="11907" w:h="16840"/>
          <w:pgMar w:top="1361" w:right="1418" w:bottom="1361" w:left="1418" w:header="680" w:footer="680" w:gutter="0"/>
          <w:pgNumType w:fmt="numberInDash" w:start="1"/>
          <w:cols w:space="720" w:num="1"/>
          <w:titlePg/>
          <w:docGrid w:type="lines" w:linePitch="312" w:charSpace="0"/>
        </w:sectPr>
      </w:pPr>
    </w:p>
    <w:p>
      <w:pPr>
        <w:jc w:val="center"/>
        <w:outlineLvl w:val="0"/>
        <w:rPr>
          <w:rFonts w:eastAsia="黑体"/>
          <w:sz w:val="32"/>
          <w:szCs w:val="32"/>
          <w:highlight w:val="none"/>
        </w:rPr>
      </w:pPr>
      <w:r>
        <w:rPr>
          <w:rFonts w:eastAsia="黑体"/>
          <w:sz w:val="32"/>
          <w:szCs w:val="32"/>
          <w:highlight w:val="none"/>
        </w:rPr>
        <w:t>第三章 评审办法（综合评分法）</w:t>
      </w:r>
      <w:bookmarkEnd w:id="8"/>
    </w:p>
    <w:p>
      <w:pPr>
        <w:adjustRightInd w:val="0"/>
        <w:snapToGrid w:val="0"/>
        <w:spacing w:before="156" w:beforeLines="50" w:after="156" w:afterLines="50" w:line="400" w:lineRule="exact"/>
        <w:outlineLvl w:val="1"/>
        <w:rPr>
          <w:rFonts w:eastAsia="黑体"/>
          <w:bCs/>
          <w:kern w:val="0"/>
          <w:sz w:val="28"/>
          <w:szCs w:val="28"/>
          <w:highlight w:val="none"/>
        </w:rPr>
      </w:pPr>
      <w:bookmarkStart w:id="9" w:name="_Toc103178528"/>
      <w:r>
        <w:rPr>
          <w:rFonts w:eastAsia="黑体"/>
          <w:bCs/>
          <w:kern w:val="0"/>
          <w:sz w:val="28"/>
          <w:szCs w:val="28"/>
          <w:highlight w:val="none"/>
        </w:rPr>
        <w:t>1.评审办法</w:t>
      </w:r>
      <w:bookmarkEnd w:id="9"/>
    </w:p>
    <w:p>
      <w:pPr>
        <w:pStyle w:val="2"/>
        <w:spacing w:after="0"/>
        <w:ind w:firstLineChars="200"/>
        <w:rPr>
          <w:rFonts w:ascii="Times New Roman" w:hAnsi="Times New Roman"/>
          <w:highlight w:val="none"/>
        </w:rPr>
      </w:pPr>
      <w:r>
        <w:rPr>
          <w:rFonts w:ascii="Times New Roman" w:hAnsi="Times New Roman"/>
          <w:szCs w:val="21"/>
          <w:highlight w:val="none"/>
        </w:rPr>
        <w:t>本次评审采用综合评分法。</w:t>
      </w:r>
      <w:r>
        <w:rPr>
          <w:rFonts w:hint="eastAsia" w:ascii="Times New Roman" w:hAnsi="Times New Roman"/>
          <w:szCs w:val="21"/>
          <w:highlight w:val="none"/>
        </w:rPr>
        <w:t>评审</w:t>
      </w:r>
      <w:r>
        <w:rPr>
          <w:rFonts w:ascii="Times New Roman" w:hAnsi="Times New Roman"/>
          <w:szCs w:val="21"/>
          <w:highlight w:val="none"/>
        </w:rPr>
        <w:t>小组对满足</w:t>
      </w:r>
      <w:r>
        <w:rPr>
          <w:rFonts w:hint="eastAsia" w:ascii="Times New Roman" w:hAnsi="Times New Roman"/>
          <w:szCs w:val="21"/>
          <w:highlight w:val="none"/>
        </w:rPr>
        <w:t>询比采购</w:t>
      </w:r>
      <w:r>
        <w:rPr>
          <w:rFonts w:ascii="Times New Roman" w:hAnsi="Times New Roman"/>
          <w:szCs w:val="21"/>
          <w:highlight w:val="none"/>
        </w:rPr>
        <w:t>文件实质性要求的响应文件，按照本章规定的评分标准进行打分，并按得分由高到低顺序推荐成交候选人，综合评分相等时，以报价得分高的优先；报价得分也相等的，技术得分高的优先；技术得分也相等的，由采购人自行确定。</w:t>
      </w:r>
    </w:p>
    <w:p>
      <w:pPr>
        <w:adjustRightInd w:val="0"/>
        <w:snapToGrid w:val="0"/>
        <w:spacing w:before="156" w:beforeLines="50" w:after="156" w:afterLines="50" w:line="400" w:lineRule="exact"/>
        <w:outlineLvl w:val="1"/>
        <w:rPr>
          <w:rFonts w:eastAsia="黑体"/>
          <w:bCs/>
          <w:kern w:val="0"/>
          <w:sz w:val="28"/>
          <w:szCs w:val="28"/>
          <w:highlight w:val="none"/>
        </w:rPr>
      </w:pPr>
      <w:bookmarkStart w:id="10" w:name="_Toc103178529"/>
      <w:r>
        <w:rPr>
          <w:rFonts w:eastAsia="黑体"/>
          <w:bCs/>
          <w:kern w:val="0"/>
          <w:sz w:val="28"/>
          <w:szCs w:val="28"/>
          <w:highlight w:val="none"/>
        </w:rPr>
        <w:t>2.评审原则</w:t>
      </w:r>
      <w:bookmarkEnd w:id="10"/>
    </w:p>
    <w:p>
      <w:pPr>
        <w:adjustRightInd w:val="0"/>
        <w:snapToGrid w:val="0"/>
        <w:spacing w:line="400" w:lineRule="exact"/>
        <w:ind w:firstLine="420" w:firstLineChars="200"/>
        <w:rPr>
          <w:rFonts w:eastAsiaTheme="minorEastAsia"/>
          <w:kern w:val="0"/>
          <w:szCs w:val="21"/>
          <w:highlight w:val="none"/>
        </w:rPr>
      </w:pPr>
      <w:r>
        <w:rPr>
          <w:rFonts w:eastAsiaTheme="minorEastAsia"/>
          <w:szCs w:val="21"/>
          <w:highlight w:val="none"/>
        </w:rPr>
        <w:t>评审应遵循公平、公正、科学、择优的原则。</w:t>
      </w:r>
    </w:p>
    <w:p>
      <w:pPr>
        <w:adjustRightInd w:val="0"/>
        <w:snapToGrid w:val="0"/>
        <w:spacing w:before="156" w:beforeLines="50" w:after="156" w:afterLines="50" w:line="400" w:lineRule="exact"/>
        <w:outlineLvl w:val="1"/>
        <w:rPr>
          <w:rFonts w:eastAsia="黑体"/>
          <w:bCs/>
          <w:kern w:val="0"/>
          <w:sz w:val="28"/>
          <w:szCs w:val="28"/>
          <w:highlight w:val="none"/>
        </w:rPr>
      </w:pPr>
      <w:bookmarkStart w:id="11" w:name="_Toc103178530"/>
      <w:r>
        <w:rPr>
          <w:rFonts w:eastAsia="黑体"/>
          <w:bCs/>
          <w:kern w:val="0"/>
          <w:sz w:val="28"/>
          <w:szCs w:val="28"/>
          <w:highlight w:val="none"/>
        </w:rPr>
        <w:t>3.评审组织</w:t>
      </w:r>
      <w:bookmarkEnd w:id="11"/>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评审工作由采购人依规组建的评审小组负责，评审小组的组建见供应商须知前附表，评审小组成员为不少于3人的单数。</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评审小组应当按照采购文件确定的评审标准和方法，客观、公正对响应文件进行评审和比较，采购文件没有规定的评审标准和方法不得作为评审的依据。</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评审小组对响应文件作出的评审结论，应当符合有关法律、法规、规章和采购文件的规定。</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评审小组在评审过程中有不同意见的，遵从少数服从多数的原则。</w:t>
      </w:r>
    </w:p>
    <w:p>
      <w:pPr>
        <w:adjustRightInd w:val="0"/>
        <w:snapToGrid w:val="0"/>
        <w:spacing w:before="156" w:beforeLines="50" w:after="156" w:afterLines="50" w:line="400" w:lineRule="exact"/>
        <w:outlineLvl w:val="1"/>
        <w:rPr>
          <w:rFonts w:eastAsia="黑体"/>
          <w:bCs/>
          <w:kern w:val="0"/>
          <w:sz w:val="28"/>
          <w:szCs w:val="28"/>
          <w:highlight w:val="none"/>
        </w:rPr>
      </w:pPr>
      <w:bookmarkStart w:id="12" w:name="_Toc103178531"/>
      <w:r>
        <w:rPr>
          <w:rFonts w:eastAsia="黑体"/>
          <w:bCs/>
          <w:kern w:val="0"/>
          <w:sz w:val="28"/>
          <w:szCs w:val="28"/>
          <w:highlight w:val="none"/>
        </w:rPr>
        <w:t>4.评审程序和内容</w:t>
      </w:r>
      <w:bookmarkEnd w:id="12"/>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4.1熟悉采购文件和评审办法；</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4.2响应文件的初步评审；</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4.3响应文件的详细评审；</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4.4完成评审报告，推荐中选候选人。</w:t>
      </w:r>
    </w:p>
    <w:p>
      <w:pPr>
        <w:adjustRightInd w:val="0"/>
        <w:snapToGrid w:val="0"/>
        <w:spacing w:before="156" w:beforeLines="50" w:after="156" w:afterLines="50" w:line="400" w:lineRule="exact"/>
        <w:outlineLvl w:val="1"/>
        <w:rPr>
          <w:rFonts w:eastAsia="黑体"/>
          <w:bCs/>
          <w:kern w:val="0"/>
          <w:sz w:val="28"/>
          <w:szCs w:val="28"/>
          <w:highlight w:val="none"/>
        </w:rPr>
      </w:pPr>
      <w:bookmarkStart w:id="13" w:name="_Toc103178532"/>
      <w:r>
        <w:rPr>
          <w:rFonts w:eastAsia="黑体"/>
          <w:bCs/>
          <w:kern w:val="0"/>
          <w:sz w:val="28"/>
          <w:szCs w:val="28"/>
          <w:highlight w:val="none"/>
        </w:rPr>
        <w:t>5.评审细则</w:t>
      </w:r>
      <w:bookmarkEnd w:id="13"/>
    </w:p>
    <w:p>
      <w:pPr>
        <w:adjustRightInd w:val="0"/>
        <w:snapToGrid w:val="0"/>
        <w:spacing w:line="400" w:lineRule="exact"/>
        <w:ind w:firstLine="422" w:firstLineChars="200"/>
        <w:rPr>
          <w:rFonts w:eastAsiaTheme="minorEastAsia"/>
          <w:b/>
          <w:kern w:val="0"/>
          <w:szCs w:val="21"/>
          <w:highlight w:val="none"/>
        </w:rPr>
      </w:pPr>
      <w:r>
        <w:rPr>
          <w:rFonts w:eastAsiaTheme="minorEastAsia"/>
          <w:b/>
          <w:kern w:val="0"/>
          <w:szCs w:val="21"/>
          <w:highlight w:val="none"/>
        </w:rPr>
        <w:t>5.1初步评审</w:t>
      </w:r>
    </w:p>
    <w:p>
      <w:pPr>
        <w:spacing w:line="400" w:lineRule="exact"/>
        <w:ind w:firstLine="420" w:firstLineChars="200"/>
        <w:rPr>
          <w:rFonts w:eastAsiaTheme="minorEastAsia"/>
          <w:szCs w:val="21"/>
          <w:highlight w:val="none"/>
        </w:rPr>
      </w:pPr>
      <w:r>
        <w:rPr>
          <w:rFonts w:eastAsiaTheme="minorEastAsia"/>
          <w:szCs w:val="21"/>
          <w:highlight w:val="none"/>
        </w:rPr>
        <w:t xml:space="preserve">5.1.1 </w:t>
      </w:r>
      <w:r>
        <w:rPr>
          <w:rFonts w:hint="eastAsia" w:eastAsiaTheme="minorEastAsia"/>
          <w:szCs w:val="21"/>
          <w:highlight w:val="none"/>
        </w:rPr>
        <w:t>评审</w:t>
      </w:r>
      <w:r>
        <w:rPr>
          <w:rFonts w:eastAsiaTheme="minorEastAsia"/>
          <w:szCs w:val="21"/>
          <w:highlight w:val="none"/>
        </w:rPr>
        <w:t>小组审核每份响应文件是否实质上满足</w:t>
      </w:r>
      <w:r>
        <w:rPr>
          <w:rFonts w:hint="eastAsia" w:eastAsiaTheme="minorEastAsia"/>
          <w:szCs w:val="21"/>
          <w:highlight w:val="none"/>
        </w:rPr>
        <w:t>询比</w:t>
      </w:r>
      <w:r>
        <w:rPr>
          <w:rFonts w:eastAsiaTheme="minorEastAsia"/>
          <w:szCs w:val="21"/>
          <w:highlight w:val="none"/>
        </w:rPr>
        <w:t>采购公告所列的资格要求。</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 xml:space="preserve">5.1.2 </w:t>
      </w:r>
      <w:r>
        <w:rPr>
          <w:rFonts w:hint="eastAsia"/>
          <w:szCs w:val="21"/>
          <w:highlight w:val="none"/>
        </w:rPr>
        <w:t>评审</w:t>
      </w:r>
      <w:r>
        <w:rPr>
          <w:szCs w:val="21"/>
          <w:highlight w:val="none"/>
        </w:rPr>
        <w:t>小组对收到的响应文件进行符合性评审，通过符合性评审的响应文件方可进行价格、商务、技术评审环节。（详见附表1）</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5.1.3评审核实</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响应文件中有含义不明确的内容、明显文字或计算错误，评审专家认为需要供应商作出必要澄清、说明的，应当组织询问。</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如评审小组发现响应文件存在供应商须知前附表第3</w:t>
      </w:r>
      <w:r>
        <w:rPr>
          <w:rFonts w:hint="eastAsia" w:eastAsiaTheme="minorEastAsia"/>
          <w:szCs w:val="21"/>
          <w:highlight w:val="none"/>
          <w:lang w:val="en-US" w:eastAsia="zh-CN"/>
        </w:rPr>
        <w:t>0</w:t>
      </w:r>
      <w:r>
        <w:rPr>
          <w:rFonts w:eastAsiaTheme="minorEastAsia"/>
          <w:szCs w:val="21"/>
          <w:highlight w:val="none"/>
        </w:rPr>
        <w:t>款“否决响应文件的情形”所列情形之一的，经询问核实并认定后，即可判定该响应文件初步评审不通过予以否决，不再进入后续的详细评审环节。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询问问题及供应商的澄清、说明不得超出响应报价文件的范围或者改变响应报价文件的实质性内容。</w:t>
      </w:r>
    </w:p>
    <w:p>
      <w:pPr>
        <w:adjustRightInd w:val="0"/>
        <w:snapToGrid w:val="0"/>
        <w:spacing w:line="400" w:lineRule="exact"/>
        <w:ind w:firstLine="422" w:firstLineChars="200"/>
        <w:rPr>
          <w:rFonts w:eastAsiaTheme="minorEastAsia"/>
          <w:b/>
          <w:kern w:val="0"/>
          <w:szCs w:val="21"/>
          <w:highlight w:val="none"/>
        </w:rPr>
      </w:pPr>
      <w:r>
        <w:rPr>
          <w:rFonts w:eastAsiaTheme="minorEastAsia"/>
          <w:b/>
          <w:kern w:val="0"/>
          <w:szCs w:val="21"/>
          <w:highlight w:val="none"/>
        </w:rPr>
        <w:t>5.2详细评审</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5.2.1评分范围：通过初步评审的所有响应文件进入综合评分范围。</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5.2.2评审小组对通过初步评审的供应商进行综合评审，评审结束后当场宣布评审打分结果，并推荐综合得分第一供应商为候选成交供应商。</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5.2.3本次采购产生成交候选人的，采购人将以结果公示的形式予以公布；</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5.2.4发生下列情形之一的，采购人有权终止本次采购或改变采购方式，不再通知：</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（1）至报价截止时间，报价人（包括视同报价）不足3家；</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（2）经评审，有效报价不足3家；</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（3）收到投诉或质疑。</w:t>
      </w:r>
    </w:p>
    <w:p>
      <w:pPr>
        <w:adjustRightInd w:val="0"/>
        <w:snapToGrid w:val="0"/>
        <w:spacing w:before="156" w:beforeLines="50" w:after="156" w:afterLines="50" w:line="400" w:lineRule="exact"/>
        <w:outlineLvl w:val="1"/>
        <w:rPr>
          <w:rFonts w:eastAsia="黑体"/>
          <w:bCs/>
          <w:kern w:val="0"/>
          <w:sz w:val="28"/>
          <w:szCs w:val="28"/>
          <w:highlight w:val="none"/>
        </w:rPr>
      </w:pPr>
      <w:bookmarkStart w:id="14" w:name="_Toc103178533"/>
      <w:r>
        <w:rPr>
          <w:rFonts w:eastAsia="黑体"/>
          <w:bCs/>
          <w:kern w:val="0"/>
          <w:sz w:val="28"/>
          <w:szCs w:val="28"/>
          <w:highlight w:val="none"/>
        </w:rPr>
        <w:t>6.完成评审报告</w:t>
      </w:r>
      <w:bookmarkEnd w:id="14"/>
    </w:p>
    <w:p>
      <w:pPr>
        <w:adjustRightInd w:val="0"/>
        <w:snapToGrid w:val="0"/>
        <w:spacing w:line="400" w:lineRule="exact"/>
        <w:ind w:firstLine="422" w:firstLineChars="200"/>
        <w:rPr>
          <w:rFonts w:eastAsiaTheme="minorEastAsia"/>
          <w:b/>
          <w:szCs w:val="21"/>
          <w:highlight w:val="none"/>
        </w:rPr>
      </w:pPr>
      <w:r>
        <w:rPr>
          <w:rFonts w:eastAsiaTheme="minorEastAsia"/>
          <w:b/>
          <w:szCs w:val="21"/>
          <w:highlight w:val="none"/>
        </w:rPr>
        <w:t>6.1评审小组应当向采购人提交书面评审报告。</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pPr>
        <w:adjustRightInd w:val="0"/>
        <w:snapToGrid w:val="0"/>
        <w:spacing w:line="400" w:lineRule="exact"/>
        <w:ind w:firstLine="422" w:firstLineChars="200"/>
        <w:rPr>
          <w:rFonts w:eastAsiaTheme="minorEastAsia"/>
          <w:b/>
          <w:bCs/>
          <w:szCs w:val="21"/>
          <w:highlight w:val="none"/>
        </w:rPr>
      </w:pPr>
      <w:r>
        <w:rPr>
          <w:rFonts w:eastAsiaTheme="minorEastAsia"/>
          <w:b/>
          <w:bCs/>
          <w:szCs w:val="21"/>
          <w:highlight w:val="none"/>
        </w:rPr>
        <w:t>6.2评审报告内容：</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（1）评审记录；</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（2）评审内容、过程和结果；</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（3）评审澄清纪要（如有）；</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（4）否决响应文件情况说明及依据（如有）；</w:t>
      </w:r>
    </w:p>
    <w:p>
      <w:pPr>
        <w:adjustRightInd w:val="0"/>
        <w:snapToGrid w:val="0"/>
        <w:spacing w:line="400" w:lineRule="exact"/>
        <w:ind w:firstLine="420" w:firstLineChars="200"/>
        <w:rPr>
          <w:rFonts w:eastAsiaTheme="minorEastAsia"/>
          <w:szCs w:val="21"/>
          <w:highlight w:val="none"/>
        </w:rPr>
      </w:pPr>
      <w:r>
        <w:rPr>
          <w:rFonts w:eastAsiaTheme="minorEastAsia"/>
          <w:szCs w:val="21"/>
          <w:highlight w:val="none"/>
        </w:rPr>
        <w:t>（5）推荐中选候选人；</w:t>
      </w:r>
    </w:p>
    <w:p>
      <w:pPr>
        <w:adjustRightInd w:val="0"/>
        <w:snapToGrid w:val="0"/>
        <w:spacing w:line="400" w:lineRule="exact"/>
        <w:ind w:firstLine="420" w:firstLineChars="200"/>
        <w:jc w:val="left"/>
        <w:rPr>
          <w:rFonts w:eastAsia="黑体"/>
          <w:sz w:val="28"/>
          <w:szCs w:val="28"/>
          <w:highlight w:val="none"/>
        </w:rPr>
      </w:pPr>
      <w:r>
        <w:rPr>
          <w:rFonts w:eastAsiaTheme="minorEastAsia"/>
          <w:szCs w:val="21"/>
          <w:highlight w:val="none"/>
        </w:rPr>
        <w:t>（6）其他建议。</w:t>
      </w:r>
      <w:r>
        <w:rPr>
          <w:highlight w:val="none"/>
        </w:rPr>
        <w:br w:type="page"/>
      </w:r>
      <w:bookmarkStart w:id="15" w:name="_Toc52356658"/>
      <w:r>
        <w:rPr>
          <w:rFonts w:eastAsia="黑体"/>
          <w:sz w:val="28"/>
          <w:szCs w:val="28"/>
          <w:highlight w:val="none"/>
        </w:rPr>
        <w:t>附表1</w:t>
      </w:r>
      <w:bookmarkEnd w:id="15"/>
    </w:p>
    <w:p>
      <w:pPr>
        <w:adjustRightInd w:val="0"/>
        <w:snapToGrid w:val="0"/>
        <w:spacing w:before="156" w:beforeLines="50" w:after="156" w:afterLines="50" w:line="400" w:lineRule="exact"/>
        <w:jc w:val="center"/>
        <w:rPr>
          <w:b/>
          <w:sz w:val="28"/>
          <w:szCs w:val="28"/>
          <w:highlight w:val="none"/>
        </w:rPr>
      </w:pPr>
      <w:r>
        <w:rPr>
          <w:rFonts w:eastAsia="黑体"/>
          <w:sz w:val="28"/>
          <w:szCs w:val="28"/>
          <w:highlight w:val="none"/>
        </w:rPr>
        <w:t>符合性评审表</w:t>
      </w:r>
    </w:p>
    <w:tbl>
      <w:tblPr>
        <w:tblStyle w:val="25"/>
        <w:tblW w:w="8798" w:type="dxa"/>
        <w:jc w:val="center"/>
        <w:tblInd w:w="0" w:type="dxa"/>
        <w:tblLayout w:type="fixed"/>
        <w:tblCellMar>
          <w:top w:w="0" w:type="dxa"/>
          <w:left w:w="108" w:type="dxa"/>
          <w:bottom w:w="0" w:type="dxa"/>
          <w:right w:w="108" w:type="dxa"/>
        </w:tblCellMar>
      </w:tblPr>
      <w:tblGrid>
        <w:gridCol w:w="734"/>
        <w:gridCol w:w="5083"/>
        <w:gridCol w:w="832"/>
        <w:gridCol w:w="972"/>
        <w:gridCol w:w="1177"/>
      </w:tblGrid>
      <w:tr>
        <w:tblPrEx>
          <w:tblLayout w:type="fixed"/>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Cs w:val="21"/>
                <w:highlight w:val="none"/>
              </w:rPr>
            </w:pPr>
            <w:r>
              <w:rPr>
                <w:b/>
                <w:bCs/>
                <w:kern w:val="0"/>
                <w:szCs w:val="21"/>
                <w:highlight w:val="none"/>
              </w:rPr>
              <w:t>序号</w:t>
            </w:r>
          </w:p>
        </w:tc>
        <w:tc>
          <w:tcPr>
            <w:tcW w:w="5083" w:type="dxa"/>
            <w:tcBorders>
              <w:top w:val="single" w:color="auto" w:sz="4" w:space="0"/>
              <w:left w:val="nil"/>
              <w:bottom w:val="single" w:color="auto" w:sz="4" w:space="0"/>
              <w:right w:val="single" w:color="auto" w:sz="4" w:space="0"/>
            </w:tcBorders>
            <w:vAlign w:val="center"/>
          </w:tcPr>
          <w:p>
            <w:pPr>
              <w:widowControl/>
              <w:jc w:val="center"/>
              <w:rPr>
                <w:b/>
                <w:bCs/>
                <w:kern w:val="0"/>
                <w:szCs w:val="21"/>
                <w:highlight w:val="none"/>
              </w:rPr>
            </w:pPr>
            <w:r>
              <w:rPr>
                <w:b/>
                <w:bCs/>
                <w:kern w:val="0"/>
                <w:szCs w:val="21"/>
                <w:highlight w:val="none"/>
              </w:rPr>
              <w:t>评审项目</w:t>
            </w:r>
          </w:p>
        </w:tc>
        <w:tc>
          <w:tcPr>
            <w:tcW w:w="1804" w:type="dxa"/>
            <w:gridSpan w:val="2"/>
            <w:tcBorders>
              <w:top w:val="single" w:color="auto" w:sz="4" w:space="0"/>
              <w:left w:val="nil"/>
              <w:bottom w:val="single" w:color="auto" w:sz="4" w:space="0"/>
              <w:right w:val="single" w:color="auto" w:sz="4" w:space="0"/>
            </w:tcBorders>
            <w:vAlign w:val="center"/>
          </w:tcPr>
          <w:p>
            <w:pPr>
              <w:widowControl/>
              <w:jc w:val="center"/>
              <w:rPr>
                <w:b/>
                <w:bCs/>
                <w:kern w:val="0"/>
                <w:szCs w:val="21"/>
                <w:highlight w:val="none"/>
              </w:rPr>
            </w:pPr>
            <w:r>
              <w:rPr>
                <w:b/>
                <w:bCs/>
                <w:kern w:val="0"/>
                <w:szCs w:val="21"/>
                <w:highlight w:val="none"/>
              </w:rPr>
              <w:t>评审标准</w:t>
            </w:r>
          </w:p>
        </w:tc>
        <w:tc>
          <w:tcPr>
            <w:tcW w:w="1177" w:type="dxa"/>
            <w:tcBorders>
              <w:top w:val="single" w:color="auto" w:sz="4" w:space="0"/>
              <w:left w:val="nil"/>
              <w:bottom w:val="single" w:color="auto" w:sz="4" w:space="0"/>
              <w:right w:val="single" w:color="auto" w:sz="4" w:space="0"/>
            </w:tcBorders>
            <w:vAlign w:val="center"/>
          </w:tcPr>
          <w:p>
            <w:pPr>
              <w:widowControl/>
              <w:jc w:val="center"/>
              <w:rPr>
                <w:b/>
                <w:bCs/>
                <w:kern w:val="0"/>
                <w:szCs w:val="21"/>
                <w:highlight w:val="none"/>
              </w:rPr>
            </w:pPr>
            <w:r>
              <w:rPr>
                <w:b/>
                <w:bCs/>
                <w:kern w:val="0"/>
                <w:szCs w:val="21"/>
                <w:highlight w:val="none"/>
              </w:rPr>
              <w:t>通过标准</w:t>
            </w: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highlight w:val="none"/>
              </w:rPr>
            </w:pPr>
            <w:r>
              <w:rPr>
                <w:kern w:val="0"/>
                <w:szCs w:val="21"/>
                <w:highlight w:val="none"/>
              </w:rPr>
              <w:t>1</w:t>
            </w:r>
          </w:p>
        </w:tc>
        <w:tc>
          <w:tcPr>
            <w:tcW w:w="5083" w:type="dxa"/>
            <w:tcBorders>
              <w:top w:val="nil"/>
              <w:left w:val="nil"/>
              <w:bottom w:val="single" w:color="auto" w:sz="4" w:space="0"/>
              <w:right w:val="single" w:color="auto" w:sz="4" w:space="0"/>
            </w:tcBorders>
            <w:vAlign w:val="center"/>
          </w:tcPr>
          <w:p>
            <w:pPr>
              <w:spacing w:line="400" w:lineRule="exact"/>
              <w:rPr>
                <w:szCs w:val="21"/>
                <w:highlight w:val="none"/>
              </w:rPr>
            </w:pPr>
            <w:r>
              <w:rPr>
                <w:rFonts w:hint="eastAsia" w:eastAsiaTheme="minorEastAsia"/>
                <w:szCs w:val="21"/>
                <w:highlight w:val="none"/>
                <w:lang w:eastAsia="zh-CN"/>
              </w:rPr>
              <w:t>在中华人民共和国境内合法设立并有效存续的律所，注册住所地在杭州市区（含分支机构）。</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restart"/>
            <w:tcBorders>
              <w:top w:val="nil"/>
              <w:left w:val="single" w:color="auto" w:sz="4" w:space="0"/>
              <w:bottom w:val="single" w:color="auto" w:sz="4" w:space="0"/>
              <w:right w:val="single" w:color="auto" w:sz="4" w:space="0"/>
            </w:tcBorders>
            <w:vAlign w:val="center"/>
          </w:tcPr>
          <w:p>
            <w:pPr>
              <w:widowControl/>
              <w:jc w:val="center"/>
              <w:rPr>
                <w:kern w:val="0"/>
                <w:szCs w:val="21"/>
                <w:highlight w:val="none"/>
              </w:rPr>
            </w:pPr>
            <w:r>
              <w:rPr>
                <w:kern w:val="0"/>
                <w:szCs w:val="21"/>
                <w:highlight w:val="none"/>
              </w:rPr>
              <w:t>各项均符合，为通过；有一项不符合则为不通过</w:t>
            </w: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szCs w:val="21"/>
                <w:highlight w:val="none"/>
              </w:rPr>
            </w:pPr>
            <w:r>
              <w:rPr>
                <w:szCs w:val="21"/>
                <w:highlight w:val="none"/>
              </w:rPr>
              <w:t>2</w:t>
            </w:r>
          </w:p>
        </w:tc>
        <w:tc>
          <w:tcPr>
            <w:tcW w:w="5083" w:type="dxa"/>
            <w:tcBorders>
              <w:top w:val="nil"/>
              <w:left w:val="nil"/>
              <w:bottom w:val="single" w:color="auto" w:sz="4" w:space="0"/>
              <w:right w:val="single" w:color="auto" w:sz="4" w:space="0"/>
            </w:tcBorders>
            <w:vAlign w:val="center"/>
          </w:tcPr>
          <w:p>
            <w:pPr>
              <w:spacing w:line="400" w:lineRule="exact"/>
              <w:rPr>
                <w:kern w:val="0"/>
                <w:szCs w:val="21"/>
                <w:highlight w:val="none"/>
              </w:rPr>
            </w:pPr>
            <w:r>
              <w:rPr>
                <w:kern w:val="0"/>
                <w:szCs w:val="21"/>
                <w:highlight w:val="none"/>
              </w:rPr>
              <w:t>响应文件签字盖章参考</w:t>
            </w:r>
            <w:r>
              <w:rPr>
                <w:rFonts w:hint="eastAsia"/>
                <w:kern w:val="0"/>
                <w:szCs w:val="21"/>
                <w:highlight w:val="none"/>
              </w:rPr>
              <w:t>询比</w:t>
            </w:r>
            <w:r>
              <w:rPr>
                <w:kern w:val="0"/>
                <w:szCs w:val="21"/>
                <w:highlight w:val="none"/>
              </w:rPr>
              <w:t>采购文件第六章“响应文件格式”，其中</w:t>
            </w:r>
            <w:r>
              <w:rPr>
                <w:rFonts w:hint="eastAsia"/>
                <w:kern w:val="0"/>
                <w:szCs w:val="21"/>
                <w:highlight w:val="none"/>
              </w:rPr>
              <w:t>询比</w:t>
            </w:r>
            <w:r>
              <w:rPr>
                <w:kern w:val="0"/>
                <w:szCs w:val="21"/>
                <w:highlight w:val="none"/>
              </w:rPr>
              <w:t>采购响应函、法人代表人授权委托书、</w:t>
            </w:r>
            <w:r>
              <w:rPr>
                <w:rFonts w:hint="eastAsia"/>
                <w:kern w:val="0"/>
                <w:szCs w:val="21"/>
                <w:highlight w:val="none"/>
                <w:lang w:eastAsia="zh-CN"/>
              </w:rPr>
              <w:t>律所执业许可证复印件、相关资质证书及荣誉证明材料、团队</w:t>
            </w:r>
            <w:r>
              <w:rPr>
                <w:rFonts w:hint="eastAsia"/>
                <w:kern w:val="0"/>
                <w:szCs w:val="21"/>
                <w:highlight w:val="none"/>
                <w:lang w:val="en-US" w:eastAsia="zh-CN"/>
              </w:rPr>
              <w:t>人员情况、</w:t>
            </w:r>
            <w:r>
              <w:rPr>
                <w:kern w:val="0"/>
                <w:szCs w:val="21"/>
                <w:highlight w:val="none"/>
              </w:rPr>
              <w:t>报价文件须加盖单位公章。</w:t>
            </w:r>
          </w:p>
        </w:tc>
        <w:tc>
          <w:tcPr>
            <w:tcW w:w="832" w:type="dxa"/>
            <w:tcBorders>
              <w:top w:val="nil"/>
              <w:left w:val="nil"/>
              <w:bottom w:val="single" w:color="auto" w:sz="4" w:space="0"/>
              <w:right w:val="single" w:color="auto" w:sz="4" w:space="0"/>
            </w:tcBorders>
            <w:vAlign w:val="center"/>
          </w:tcPr>
          <w:p>
            <w:pPr>
              <w:widowControl/>
              <w:jc w:val="center"/>
              <w:rPr>
                <w:szCs w:val="21"/>
                <w:highlight w:val="none"/>
              </w:rPr>
            </w:pPr>
            <w:r>
              <w:rPr>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9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rFonts w:hint="eastAsia" w:eastAsia="宋体"/>
                <w:szCs w:val="21"/>
                <w:highlight w:val="none"/>
                <w:lang w:eastAsia="zh-CN"/>
              </w:rPr>
            </w:pPr>
            <w:r>
              <w:rPr>
                <w:rFonts w:hint="eastAsia"/>
                <w:szCs w:val="21"/>
                <w:highlight w:val="none"/>
                <w:lang w:val="en-US" w:eastAsia="zh-CN"/>
              </w:rPr>
              <w:t>3</w:t>
            </w:r>
          </w:p>
        </w:tc>
        <w:tc>
          <w:tcPr>
            <w:tcW w:w="5083" w:type="dxa"/>
            <w:tcBorders>
              <w:top w:val="nil"/>
              <w:left w:val="nil"/>
              <w:bottom w:val="single" w:color="auto" w:sz="4" w:space="0"/>
              <w:right w:val="single" w:color="auto" w:sz="4" w:space="0"/>
            </w:tcBorders>
          </w:tcPr>
          <w:p>
            <w:pPr>
              <w:spacing w:line="360" w:lineRule="auto"/>
              <w:rPr>
                <w:kern w:val="0"/>
                <w:szCs w:val="21"/>
                <w:highlight w:val="none"/>
              </w:rPr>
            </w:pPr>
            <w:r>
              <w:rPr>
                <w:kern w:val="0"/>
                <w:szCs w:val="21"/>
                <w:highlight w:val="none"/>
              </w:rPr>
              <w:t>业绩要求符合</w:t>
            </w:r>
            <w:r>
              <w:rPr>
                <w:szCs w:val="21"/>
                <w:highlight w:val="none"/>
              </w:rPr>
              <w:t>第一章“响应人资格”第2.</w:t>
            </w:r>
            <w:r>
              <w:rPr>
                <w:rFonts w:hint="eastAsia"/>
                <w:szCs w:val="21"/>
                <w:highlight w:val="none"/>
                <w:lang w:val="en-US" w:eastAsia="zh-CN"/>
              </w:rPr>
              <w:t>1</w:t>
            </w:r>
            <w:r>
              <w:rPr>
                <w:szCs w:val="21"/>
                <w:highlight w:val="none"/>
              </w:rPr>
              <w:t>项规定</w:t>
            </w:r>
          </w:p>
        </w:tc>
        <w:tc>
          <w:tcPr>
            <w:tcW w:w="832" w:type="dxa"/>
            <w:tcBorders>
              <w:top w:val="nil"/>
              <w:left w:val="nil"/>
              <w:bottom w:val="single" w:color="auto" w:sz="4" w:space="0"/>
              <w:right w:val="single" w:color="auto" w:sz="4" w:space="0"/>
            </w:tcBorders>
            <w:vAlign w:val="center"/>
          </w:tcPr>
          <w:p>
            <w:pPr>
              <w:widowControl/>
              <w:jc w:val="center"/>
              <w:rPr>
                <w:szCs w:val="21"/>
                <w:highlight w:val="none"/>
              </w:rPr>
            </w:pPr>
            <w:r>
              <w:rPr>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Cs w:val="21"/>
                <w:highlight w:val="none"/>
                <w:lang w:val="en-US" w:eastAsia="zh-CN"/>
              </w:rPr>
            </w:pPr>
            <w:r>
              <w:rPr>
                <w:rFonts w:hint="eastAsia"/>
                <w:kern w:val="0"/>
                <w:szCs w:val="21"/>
                <w:highlight w:val="none"/>
                <w:lang w:val="en-US" w:eastAsia="zh-CN"/>
              </w:rPr>
              <w:t>4</w:t>
            </w:r>
          </w:p>
        </w:tc>
        <w:tc>
          <w:tcPr>
            <w:tcW w:w="5083" w:type="dxa"/>
            <w:tcBorders>
              <w:top w:val="nil"/>
              <w:left w:val="nil"/>
              <w:bottom w:val="single" w:color="auto" w:sz="4" w:space="0"/>
              <w:right w:val="single" w:color="auto" w:sz="4" w:space="0"/>
            </w:tcBorders>
          </w:tcPr>
          <w:p>
            <w:pPr>
              <w:spacing w:line="360" w:lineRule="auto"/>
              <w:rPr>
                <w:rFonts w:hint="eastAsia"/>
                <w:kern w:val="0"/>
                <w:szCs w:val="21"/>
                <w:highlight w:val="none"/>
                <w:lang w:eastAsia="zh-CN"/>
              </w:rPr>
            </w:pPr>
            <w:r>
              <w:rPr>
                <w:rFonts w:hint="eastAsia"/>
                <w:kern w:val="0"/>
                <w:szCs w:val="21"/>
                <w:highlight w:val="none"/>
                <w:lang w:eastAsia="zh-CN"/>
              </w:rPr>
              <w:t>公司注册地址</w:t>
            </w:r>
            <w:r>
              <w:rPr>
                <w:kern w:val="0"/>
                <w:szCs w:val="21"/>
                <w:highlight w:val="none"/>
              </w:rPr>
              <w:t>符合</w:t>
            </w:r>
            <w:r>
              <w:rPr>
                <w:szCs w:val="21"/>
                <w:highlight w:val="none"/>
              </w:rPr>
              <w:t>第一章“响应人资格”第2.</w:t>
            </w:r>
            <w:r>
              <w:rPr>
                <w:rFonts w:hint="eastAsia"/>
                <w:szCs w:val="21"/>
                <w:highlight w:val="none"/>
                <w:lang w:val="en-US" w:eastAsia="zh-CN"/>
              </w:rPr>
              <w:t>2</w:t>
            </w:r>
            <w:r>
              <w:rPr>
                <w:szCs w:val="21"/>
                <w:highlight w:val="none"/>
              </w:rPr>
              <w:t>项规定</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5</w:t>
            </w:r>
          </w:p>
        </w:tc>
        <w:tc>
          <w:tcPr>
            <w:tcW w:w="5083" w:type="dxa"/>
            <w:tcBorders>
              <w:top w:val="nil"/>
              <w:left w:val="nil"/>
              <w:bottom w:val="single" w:color="auto" w:sz="4" w:space="0"/>
              <w:right w:val="single" w:color="auto" w:sz="4" w:space="0"/>
            </w:tcBorders>
          </w:tcPr>
          <w:p>
            <w:pPr>
              <w:spacing w:line="360" w:lineRule="auto"/>
              <w:rPr>
                <w:kern w:val="0"/>
                <w:szCs w:val="21"/>
                <w:highlight w:val="none"/>
              </w:rPr>
            </w:pPr>
            <w:r>
              <w:rPr>
                <w:rFonts w:hint="eastAsia"/>
                <w:kern w:val="0"/>
                <w:szCs w:val="21"/>
                <w:highlight w:val="none"/>
                <w:lang w:eastAsia="zh-CN"/>
              </w:rPr>
              <w:t>执业律师人数要求</w:t>
            </w:r>
            <w:r>
              <w:rPr>
                <w:kern w:val="0"/>
                <w:szCs w:val="21"/>
                <w:highlight w:val="none"/>
              </w:rPr>
              <w:t>符合</w:t>
            </w:r>
            <w:r>
              <w:rPr>
                <w:szCs w:val="21"/>
                <w:highlight w:val="none"/>
              </w:rPr>
              <w:t>第一章“响应人资格”第2.3项规定</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6</w:t>
            </w:r>
          </w:p>
        </w:tc>
        <w:tc>
          <w:tcPr>
            <w:tcW w:w="5083" w:type="dxa"/>
            <w:tcBorders>
              <w:top w:val="nil"/>
              <w:left w:val="nil"/>
              <w:bottom w:val="single" w:color="auto" w:sz="4" w:space="0"/>
              <w:right w:val="single" w:color="auto" w:sz="4" w:space="0"/>
            </w:tcBorders>
          </w:tcPr>
          <w:p>
            <w:pPr>
              <w:spacing w:line="360" w:lineRule="auto"/>
              <w:rPr>
                <w:kern w:val="0"/>
                <w:szCs w:val="21"/>
                <w:highlight w:val="none"/>
              </w:rPr>
            </w:pPr>
            <w:r>
              <w:rPr>
                <w:kern w:val="0"/>
                <w:szCs w:val="21"/>
                <w:highlight w:val="none"/>
              </w:rPr>
              <w:t>信用要求符合</w:t>
            </w:r>
            <w:r>
              <w:rPr>
                <w:szCs w:val="21"/>
                <w:highlight w:val="none"/>
              </w:rPr>
              <w:t>第一章“响应人资格”第2.4项规定</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7</w:t>
            </w:r>
          </w:p>
        </w:tc>
        <w:tc>
          <w:tcPr>
            <w:tcW w:w="5083" w:type="dxa"/>
            <w:tcBorders>
              <w:top w:val="nil"/>
              <w:left w:val="nil"/>
              <w:bottom w:val="single" w:color="auto" w:sz="4" w:space="0"/>
              <w:right w:val="single" w:color="auto" w:sz="4" w:space="0"/>
            </w:tcBorders>
          </w:tcPr>
          <w:p>
            <w:pPr>
              <w:spacing w:line="360" w:lineRule="auto"/>
              <w:rPr>
                <w:kern w:val="0"/>
                <w:szCs w:val="21"/>
                <w:highlight w:val="none"/>
              </w:rPr>
            </w:pPr>
            <w:r>
              <w:rPr>
                <w:kern w:val="0"/>
                <w:szCs w:val="21"/>
                <w:highlight w:val="none"/>
              </w:rPr>
              <w:t>信誉要求符合</w:t>
            </w:r>
            <w:r>
              <w:rPr>
                <w:szCs w:val="21"/>
                <w:highlight w:val="none"/>
              </w:rPr>
              <w:t>第一章“响应人资格”第2.5项规定</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8</w:t>
            </w:r>
          </w:p>
        </w:tc>
        <w:tc>
          <w:tcPr>
            <w:tcW w:w="5083" w:type="dxa"/>
            <w:tcBorders>
              <w:top w:val="nil"/>
              <w:left w:val="nil"/>
              <w:bottom w:val="single" w:color="auto" w:sz="4" w:space="0"/>
              <w:right w:val="single" w:color="auto" w:sz="4" w:space="0"/>
            </w:tcBorders>
            <w:vAlign w:val="center"/>
          </w:tcPr>
          <w:p>
            <w:pPr>
              <w:spacing w:line="360" w:lineRule="auto"/>
              <w:rPr>
                <w:kern w:val="0"/>
                <w:szCs w:val="21"/>
                <w:highlight w:val="none"/>
              </w:rPr>
            </w:pPr>
            <w:r>
              <w:rPr>
                <w:kern w:val="0"/>
                <w:szCs w:val="21"/>
                <w:highlight w:val="none"/>
              </w:rPr>
              <w:t>单位负责人为同一人或者存在控股、管理关系的不同单位，不得同时参加本项目。</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rFonts w:hint="eastAsia" w:eastAsia="宋体"/>
                <w:kern w:val="0"/>
                <w:szCs w:val="21"/>
                <w:highlight w:val="none"/>
                <w:lang w:eastAsia="zh-CN"/>
              </w:rPr>
            </w:pPr>
            <w:r>
              <w:rPr>
                <w:rFonts w:hint="eastAsia"/>
                <w:kern w:val="0"/>
                <w:szCs w:val="21"/>
                <w:highlight w:val="none"/>
                <w:lang w:val="en-US" w:eastAsia="zh-CN"/>
              </w:rPr>
              <w:t>9</w:t>
            </w:r>
          </w:p>
        </w:tc>
        <w:tc>
          <w:tcPr>
            <w:tcW w:w="5083" w:type="dxa"/>
            <w:tcBorders>
              <w:top w:val="nil"/>
              <w:left w:val="nil"/>
              <w:bottom w:val="single" w:color="auto" w:sz="4" w:space="0"/>
              <w:right w:val="single" w:color="auto" w:sz="4" w:space="0"/>
            </w:tcBorders>
            <w:vAlign w:val="center"/>
          </w:tcPr>
          <w:p>
            <w:pPr>
              <w:spacing w:line="400" w:lineRule="exact"/>
              <w:rPr>
                <w:highlight w:val="none"/>
              </w:rPr>
            </w:pPr>
            <w:r>
              <w:rPr>
                <w:szCs w:val="21"/>
                <w:highlight w:val="none"/>
              </w:rPr>
              <w:t>响应人报价表加盖公章或有法定代表人或法定代表人授权委托人签字。</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highlight w:val="none"/>
              </w:rPr>
            </w:pPr>
            <w:r>
              <w:rPr>
                <w:kern w:val="0"/>
                <w:szCs w:val="21"/>
                <w:highlight w:val="none"/>
              </w:rPr>
              <w:t>10</w:t>
            </w:r>
          </w:p>
        </w:tc>
        <w:tc>
          <w:tcPr>
            <w:tcW w:w="5083" w:type="dxa"/>
            <w:tcBorders>
              <w:top w:val="nil"/>
              <w:left w:val="nil"/>
              <w:bottom w:val="single" w:color="auto" w:sz="4" w:space="0"/>
              <w:right w:val="single" w:color="auto" w:sz="4" w:space="0"/>
            </w:tcBorders>
            <w:vAlign w:val="center"/>
          </w:tcPr>
          <w:p>
            <w:pPr>
              <w:spacing w:line="400" w:lineRule="exact"/>
              <w:jc w:val="left"/>
              <w:rPr>
                <w:highlight w:val="none"/>
              </w:rPr>
            </w:pPr>
            <w:r>
              <w:rPr>
                <w:highlight w:val="none"/>
              </w:rPr>
              <w:t>经</w:t>
            </w:r>
            <w:r>
              <w:rPr>
                <w:rFonts w:hint="eastAsia"/>
                <w:highlight w:val="none"/>
              </w:rPr>
              <w:t>评审</w:t>
            </w:r>
            <w:r>
              <w:rPr>
                <w:highlight w:val="none"/>
              </w:rPr>
              <w:t>小组鉴定响应人报价不低于成本价。</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highlight w:val="none"/>
              </w:rPr>
            </w:pPr>
            <w:r>
              <w:rPr>
                <w:kern w:val="0"/>
                <w:szCs w:val="21"/>
                <w:highlight w:val="none"/>
              </w:rPr>
              <w:t>11</w:t>
            </w:r>
          </w:p>
        </w:tc>
        <w:tc>
          <w:tcPr>
            <w:tcW w:w="5083" w:type="dxa"/>
            <w:tcBorders>
              <w:top w:val="nil"/>
              <w:left w:val="nil"/>
              <w:bottom w:val="single" w:color="auto" w:sz="4" w:space="0"/>
              <w:right w:val="single" w:color="auto" w:sz="4" w:space="0"/>
            </w:tcBorders>
            <w:vAlign w:val="center"/>
          </w:tcPr>
          <w:p>
            <w:pPr>
              <w:spacing w:line="360" w:lineRule="auto"/>
              <w:rPr>
                <w:highlight w:val="none"/>
              </w:rPr>
            </w:pPr>
            <w:r>
              <w:rPr>
                <w:szCs w:val="21"/>
                <w:highlight w:val="none"/>
              </w:rPr>
              <w:t>响应人报价不高于控制价。</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highlight w:val="none"/>
              </w:rPr>
            </w:pPr>
            <w:r>
              <w:rPr>
                <w:kern w:val="0"/>
                <w:szCs w:val="21"/>
                <w:highlight w:val="none"/>
              </w:rPr>
              <w:t>12</w:t>
            </w:r>
          </w:p>
        </w:tc>
        <w:tc>
          <w:tcPr>
            <w:tcW w:w="5083" w:type="dxa"/>
            <w:tcBorders>
              <w:top w:val="nil"/>
              <w:left w:val="nil"/>
              <w:bottom w:val="single" w:color="auto" w:sz="4" w:space="0"/>
              <w:right w:val="single" w:color="auto" w:sz="4" w:space="0"/>
            </w:tcBorders>
            <w:vAlign w:val="center"/>
          </w:tcPr>
          <w:p>
            <w:pPr>
              <w:spacing w:line="360" w:lineRule="auto"/>
              <w:rPr>
                <w:highlight w:val="none"/>
              </w:rPr>
            </w:pPr>
            <w:r>
              <w:rPr>
                <w:kern w:val="0"/>
                <w:szCs w:val="21"/>
                <w:highlight w:val="none"/>
              </w:rPr>
              <w:t>本项目不接受联合体参选，不得转包。</w:t>
            </w:r>
          </w:p>
        </w:tc>
        <w:tc>
          <w:tcPr>
            <w:tcW w:w="83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highlight w:val="none"/>
              </w:rPr>
            </w:pPr>
          </w:p>
        </w:tc>
      </w:tr>
      <w:tr>
        <w:tblPrEx>
          <w:tblLayout w:type="fixed"/>
          <w:tblCellMar>
            <w:top w:w="0" w:type="dxa"/>
            <w:left w:w="108" w:type="dxa"/>
            <w:bottom w:w="0" w:type="dxa"/>
            <w:right w:w="108" w:type="dxa"/>
          </w:tblCellMar>
        </w:tblPrEx>
        <w:trPr>
          <w:trHeight w:val="565"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b/>
                <w:bCs/>
                <w:kern w:val="0"/>
                <w:szCs w:val="21"/>
                <w:highlight w:val="none"/>
              </w:rPr>
            </w:pPr>
            <w:r>
              <w:rPr>
                <w:b/>
                <w:bCs/>
                <w:kern w:val="0"/>
                <w:szCs w:val="21"/>
                <w:highlight w:val="none"/>
              </w:rPr>
              <w:t>结论</w:t>
            </w:r>
          </w:p>
        </w:tc>
        <w:tc>
          <w:tcPr>
            <w:tcW w:w="8064" w:type="dxa"/>
            <w:gridSpan w:val="4"/>
            <w:tcBorders>
              <w:top w:val="nil"/>
              <w:left w:val="nil"/>
              <w:bottom w:val="single" w:color="auto" w:sz="4" w:space="0"/>
              <w:right w:val="single" w:color="auto" w:sz="4" w:space="0"/>
            </w:tcBorders>
            <w:vAlign w:val="center"/>
          </w:tcPr>
          <w:p>
            <w:pPr>
              <w:widowControl/>
              <w:jc w:val="center"/>
              <w:rPr>
                <w:kern w:val="0"/>
                <w:szCs w:val="21"/>
                <w:highlight w:val="none"/>
              </w:rPr>
            </w:pPr>
            <w:r>
              <w:rPr>
                <w:kern w:val="0"/>
                <w:szCs w:val="21"/>
                <w:highlight w:val="none"/>
              </w:rPr>
              <w:t>　通过/不通过</w:t>
            </w:r>
          </w:p>
        </w:tc>
      </w:tr>
    </w:tbl>
    <w:p>
      <w:pPr>
        <w:pStyle w:val="2"/>
        <w:ind w:firstLine="0" w:firstLineChars="0"/>
        <w:rPr>
          <w:rFonts w:ascii="Times New Roman" w:hAnsi="Times New Roman"/>
          <w:highlight w:val="none"/>
        </w:rPr>
      </w:pPr>
      <w:bookmarkStart w:id="16" w:name="_Toc52356659"/>
    </w:p>
    <w:bookmarkEnd w:id="16"/>
    <w:p>
      <w:pPr>
        <w:jc w:val="cente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r>
        <w:rPr>
          <w:rFonts w:eastAsia="黑体"/>
          <w:sz w:val="28"/>
          <w:szCs w:val="28"/>
          <w:highlight w:val="none"/>
        </w:rPr>
        <w:br w:type="page"/>
      </w:r>
    </w:p>
    <w:p>
      <w:pPr>
        <w:rPr>
          <w:rFonts w:eastAsia="黑体"/>
          <w:sz w:val="28"/>
          <w:szCs w:val="28"/>
          <w:highlight w:val="none"/>
        </w:rPr>
      </w:pPr>
      <w:r>
        <w:rPr>
          <w:rFonts w:eastAsia="黑体"/>
          <w:sz w:val="28"/>
          <w:szCs w:val="28"/>
          <w:highlight w:val="none"/>
        </w:rPr>
        <w:t>附表2</w:t>
      </w:r>
    </w:p>
    <w:p>
      <w:pPr>
        <w:jc w:val="center"/>
        <w:rPr>
          <w:rFonts w:eastAsia="黑体"/>
          <w:sz w:val="28"/>
          <w:szCs w:val="28"/>
          <w:highlight w:val="none"/>
        </w:rPr>
      </w:pPr>
      <w:r>
        <w:rPr>
          <w:rFonts w:eastAsia="黑体"/>
          <w:sz w:val="28"/>
          <w:szCs w:val="28"/>
          <w:highlight w:val="none"/>
        </w:rPr>
        <w:t>详细评审</w:t>
      </w:r>
    </w:p>
    <w:p>
      <w:pPr>
        <w:pStyle w:val="2"/>
      </w:pPr>
      <w:r>
        <w:rPr>
          <w:szCs w:val="21"/>
          <w:highlight w:val="none"/>
        </w:rPr>
        <w:t>分值构成（总分100分）</w:t>
      </w:r>
      <w:r>
        <w:rPr>
          <w:rFonts w:hint="eastAsia"/>
          <w:szCs w:val="21"/>
          <w:highlight w:val="none"/>
          <w:lang w:eastAsia="zh-CN"/>
        </w:rPr>
        <w:t>，</w:t>
      </w:r>
      <w:r>
        <w:rPr>
          <w:szCs w:val="21"/>
          <w:highlight w:val="none"/>
        </w:rPr>
        <w:t>商务部分（除报价）：</w:t>
      </w:r>
      <w:r>
        <w:rPr>
          <w:rFonts w:hint="eastAsia"/>
          <w:szCs w:val="21"/>
          <w:highlight w:val="none"/>
          <w:lang w:val="en-US" w:eastAsia="zh-CN"/>
        </w:rPr>
        <w:t>30</w:t>
      </w:r>
      <w:r>
        <w:rPr>
          <w:szCs w:val="21"/>
          <w:highlight w:val="none"/>
        </w:rPr>
        <w:t>分；技术部分：</w:t>
      </w:r>
      <w:r>
        <w:rPr>
          <w:rFonts w:hint="eastAsia"/>
          <w:szCs w:val="21"/>
          <w:highlight w:val="none"/>
          <w:lang w:val="en-US" w:eastAsia="zh-CN"/>
        </w:rPr>
        <w:t>20</w:t>
      </w:r>
      <w:r>
        <w:rPr>
          <w:szCs w:val="21"/>
          <w:highlight w:val="none"/>
        </w:rPr>
        <w:t>分；报价部分：50分</w:t>
      </w:r>
    </w:p>
    <w:tbl>
      <w:tblPr>
        <w:tblStyle w:val="25"/>
        <w:tblW w:w="98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4"/>
        <w:gridCol w:w="1379"/>
        <w:gridCol w:w="1134"/>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vAlign w:val="center"/>
          </w:tcPr>
          <w:p>
            <w:pPr>
              <w:snapToGrid w:val="0"/>
              <w:spacing w:line="480" w:lineRule="atLeast"/>
              <w:ind w:left="-107" w:leftChars="-51" w:right="-97" w:rightChars="-46"/>
              <w:jc w:val="center"/>
              <w:rPr>
                <w:rFonts w:ascii="仿宋_GB2312" w:hAnsi="宋体" w:eastAsia="仿宋_GB2312"/>
                <w:sz w:val="24"/>
                <w:szCs w:val="21"/>
              </w:rPr>
            </w:pPr>
            <w:r>
              <w:rPr>
                <w:rFonts w:hint="eastAsia" w:ascii="仿宋_GB2312" w:hAnsi="宋体" w:eastAsia="仿宋_GB2312"/>
                <w:sz w:val="24"/>
                <w:szCs w:val="21"/>
              </w:rPr>
              <w:t>评审内容</w:t>
            </w:r>
          </w:p>
        </w:tc>
        <w:tc>
          <w:tcPr>
            <w:tcW w:w="2513" w:type="dxa"/>
            <w:gridSpan w:val="2"/>
            <w:vAlign w:val="center"/>
          </w:tcPr>
          <w:p>
            <w:pPr>
              <w:snapToGrid w:val="0"/>
              <w:spacing w:line="480" w:lineRule="atLeast"/>
              <w:ind w:right="-97" w:rightChars="-46"/>
              <w:jc w:val="center"/>
              <w:rPr>
                <w:rFonts w:ascii="仿宋_GB2312" w:hAnsi="宋体" w:eastAsia="仿宋_GB2312"/>
                <w:sz w:val="24"/>
                <w:szCs w:val="21"/>
              </w:rPr>
            </w:pPr>
            <w:r>
              <w:rPr>
                <w:rFonts w:hint="eastAsia" w:ascii="仿宋_GB2312" w:hAnsi="宋体" w:eastAsia="仿宋_GB2312"/>
                <w:sz w:val="24"/>
                <w:szCs w:val="21"/>
              </w:rPr>
              <w:t>评分因素</w:t>
            </w:r>
          </w:p>
        </w:tc>
        <w:tc>
          <w:tcPr>
            <w:tcW w:w="1134" w:type="dxa"/>
            <w:vAlign w:val="center"/>
          </w:tcPr>
          <w:p>
            <w:pPr>
              <w:snapToGrid w:val="0"/>
              <w:spacing w:line="480" w:lineRule="atLeast"/>
              <w:ind w:right="-97" w:rightChars="-46"/>
              <w:jc w:val="center"/>
              <w:rPr>
                <w:rFonts w:ascii="仿宋_GB2312" w:hAnsi="宋体" w:eastAsia="仿宋_GB2312"/>
                <w:sz w:val="24"/>
                <w:szCs w:val="21"/>
              </w:rPr>
            </w:pPr>
            <w:r>
              <w:rPr>
                <w:rFonts w:hint="eastAsia" w:ascii="仿宋_GB2312" w:hAnsi="宋体" w:eastAsia="仿宋_GB2312"/>
                <w:sz w:val="24"/>
                <w:szCs w:val="21"/>
              </w:rPr>
              <w:t>权重比值</w:t>
            </w:r>
          </w:p>
        </w:tc>
        <w:tc>
          <w:tcPr>
            <w:tcW w:w="5114" w:type="dxa"/>
            <w:vAlign w:val="center"/>
          </w:tcPr>
          <w:p>
            <w:pPr>
              <w:snapToGrid w:val="0"/>
              <w:spacing w:line="480" w:lineRule="atLeast"/>
              <w:ind w:left="-107" w:leftChars="-51" w:right="-97" w:rightChars="-46"/>
              <w:jc w:val="center"/>
              <w:rPr>
                <w:rFonts w:ascii="仿宋_GB2312" w:hAnsi="宋体" w:eastAsia="仿宋_GB2312"/>
                <w:sz w:val="24"/>
                <w:szCs w:val="21"/>
              </w:rPr>
            </w:pPr>
            <w:r>
              <w:rPr>
                <w:rFonts w:hint="eastAsia" w:ascii="仿宋_GB2312" w:hAnsi="宋体" w:eastAsia="仿宋_GB2312"/>
                <w:sz w:val="24"/>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vMerge w:val="restart"/>
            <w:vAlign w:val="center"/>
          </w:tcPr>
          <w:p>
            <w:pPr>
              <w:snapToGrid w:val="0"/>
              <w:spacing w:line="480" w:lineRule="atLeast"/>
              <w:ind w:left="-107" w:leftChars="-51" w:right="-97" w:rightChars="-46"/>
              <w:jc w:val="center"/>
              <w:rPr>
                <w:rFonts w:ascii="仿宋_GB2312" w:hAnsi="宋体" w:eastAsia="仿宋_GB2312"/>
                <w:sz w:val="24"/>
                <w:szCs w:val="21"/>
              </w:rPr>
            </w:pPr>
            <w:r>
              <w:rPr>
                <w:rFonts w:hint="eastAsia" w:ascii="仿宋_GB2312" w:hAnsi="宋体" w:eastAsia="仿宋_GB2312"/>
                <w:sz w:val="24"/>
                <w:szCs w:val="21"/>
              </w:rPr>
              <w:t>商务评分(</w:t>
            </w:r>
            <w:r>
              <w:rPr>
                <w:rFonts w:ascii="仿宋_GB2312" w:hAnsi="宋体" w:eastAsia="仿宋_GB2312"/>
                <w:sz w:val="24"/>
                <w:szCs w:val="21"/>
              </w:rPr>
              <w:t>30</w:t>
            </w:r>
            <w:r>
              <w:rPr>
                <w:rFonts w:hint="eastAsia" w:ascii="仿宋_GB2312" w:hAnsi="宋体" w:eastAsia="仿宋_GB2312"/>
                <w:sz w:val="24"/>
                <w:szCs w:val="21"/>
              </w:rPr>
              <w:t>分)</w:t>
            </w:r>
          </w:p>
        </w:tc>
        <w:tc>
          <w:tcPr>
            <w:tcW w:w="1134" w:type="dxa"/>
            <w:vMerge w:val="restart"/>
            <w:vAlign w:val="center"/>
          </w:tcPr>
          <w:p>
            <w:pPr>
              <w:widowControl/>
              <w:jc w:val="center"/>
              <w:rPr>
                <w:rFonts w:ascii="仿宋_GB2312" w:hAnsi="宋体" w:eastAsia="仿宋_GB2312"/>
                <w:szCs w:val="21"/>
              </w:rPr>
            </w:pPr>
            <w:r>
              <w:rPr>
                <w:rFonts w:hint="eastAsia" w:ascii="仿宋_GB2312" w:hAnsi="宋体" w:eastAsia="仿宋_GB2312"/>
                <w:szCs w:val="21"/>
              </w:rPr>
              <w:t>响应人综合实力（</w:t>
            </w:r>
            <w:r>
              <w:rPr>
                <w:rFonts w:ascii="仿宋_GB2312" w:hAnsi="宋体" w:eastAsia="仿宋_GB2312"/>
                <w:szCs w:val="21"/>
              </w:rPr>
              <w:t>15</w:t>
            </w:r>
            <w:r>
              <w:rPr>
                <w:rFonts w:hint="eastAsia" w:ascii="仿宋_GB2312" w:hAnsi="宋体" w:eastAsia="仿宋_GB2312"/>
                <w:szCs w:val="21"/>
              </w:rPr>
              <w:t>分）</w:t>
            </w:r>
          </w:p>
        </w:tc>
        <w:tc>
          <w:tcPr>
            <w:tcW w:w="1379" w:type="dxa"/>
            <w:vAlign w:val="center"/>
          </w:tcPr>
          <w:p>
            <w:pPr>
              <w:widowControl/>
              <w:jc w:val="center"/>
              <w:rPr>
                <w:rFonts w:ascii="仿宋_GB2312" w:hAnsi="宋体" w:eastAsia="仿宋_GB2312"/>
                <w:szCs w:val="21"/>
              </w:rPr>
            </w:pPr>
            <w:r>
              <w:rPr>
                <w:rFonts w:hint="eastAsia" w:ascii="仿宋_GB2312" w:hAnsi="宋体" w:eastAsia="仿宋_GB2312"/>
                <w:szCs w:val="21"/>
              </w:rPr>
              <w:t>参与法律服务业绩</w:t>
            </w:r>
          </w:p>
        </w:tc>
        <w:tc>
          <w:tcPr>
            <w:tcW w:w="1134" w:type="dxa"/>
            <w:vAlign w:val="center"/>
          </w:tcPr>
          <w:p>
            <w:pPr>
              <w:widowControl/>
              <w:spacing w:line="480" w:lineRule="atLeast"/>
              <w:jc w:val="center"/>
              <w:rPr>
                <w:rFonts w:ascii="仿宋_GB2312" w:hAnsi="宋体" w:eastAsia="仿宋_GB2312"/>
                <w:sz w:val="24"/>
                <w:szCs w:val="21"/>
              </w:rPr>
            </w:pPr>
            <w:r>
              <w:rPr>
                <w:rFonts w:ascii="仿宋_GB2312" w:hAnsi="宋体" w:eastAsia="仿宋_GB2312"/>
                <w:sz w:val="24"/>
                <w:szCs w:val="21"/>
              </w:rPr>
              <w:t>14</w:t>
            </w:r>
          </w:p>
        </w:tc>
        <w:tc>
          <w:tcPr>
            <w:tcW w:w="5114" w:type="dxa"/>
            <w:vAlign w:val="center"/>
          </w:tcPr>
          <w:p>
            <w:pPr>
              <w:rPr>
                <w:rFonts w:hint="eastAsia" w:ascii="仿宋_GB2312" w:eastAsia="仿宋_GB2312"/>
              </w:rPr>
            </w:pPr>
            <w:r>
              <w:rPr>
                <w:rFonts w:hint="eastAsia" w:ascii="仿宋_GB2312" w:eastAsia="仿宋_GB2312"/>
              </w:rPr>
              <w:t>1、自2018年1月1日至今（以合同签订时间为准），具有国有企业单位常年法律顾问服务业绩，每提供一个业绩得2分，最高8分。</w:t>
            </w:r>
          </w:p>
          <w:p>
            <w:pPr>
              <w:rPr>
                <w:rFonts w:hint="eastAsia" w:ascii="仿宋_GB2312" w:eastAsia="仿宋_GB2312"/>
              </w:rPr>
            </w:pPr>
            <w:r>
              <w:rPr>
                <w:rFonts w:hint="eastAsia" w:ascii="仿宋_GB2312" w:eastAsia="仿宋_GB2312"/>
              </w:rPr>
              <w:t>2、响应人承担过轨道交通或交通工程建设立法或者政策制定的，每提供一个业绩得2分，最高得6分。</w:t>
            </w:r>
          </w:p>
          <w:p>
            <w:pPr>
              <w:rPr>
                <w:rFonts w:ascii="仿宋_GB2312" w:hAnsi="宋体" w:eastAsia="仿宋_GB2312"/>
                <w:sz w:val="24"/>
                <w:szCs w:val="21"/>
              </w:rPr>
            </w:pPr>
            <w:r>
              <w:rPr>
                <w:rFonts w:hint="eastAsia" w:ascii="仿宋_GB2312" w:eastAsia="仿宋_GB2312"/>
              </w:rPr>
              <w:t>证明材料：提供业绩证明或合同复制件。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9" w:type="dxa"/>
            <w:vMerge w:val="continue"/>
            <w:vAlign w:val="center"/>
          </w:tcPr>
          <w:p>
            <w:pPr>
              <w:snapToGrid w:val="0"/>
              <w:spacing w:line="480" w:lineRule="atLeast"/>
              <w:ind w:left="-107" w:leftChars="-51" w:right="-97" w:rightChars="-46"/>
              <w:jc w:val="center"/>
              <w:rPr>
                <w:rFonts w:ascii="仿宋_GB2312" w:hAnsi="宋体" w:eastAsia="仿宋_GB2312"/>
                <w:sz w:val="24"/>
                <w:szCs w:val="21"/>
              </w:rPr>
            </w:pPr>
          </w:p>
        </w:tc>
        <w:tc>
          <w:tcPr>
            <w:tcW w:w="1134" w:type="dxa"/>
            <w:vMerge w:val="continue"/>
            <w:vAlign w:val="center"/>
          </w:tcPr>
          <w:p>
            <w:pPr>
              <w:widowControl/>
              <w:spacing w:line="480" w:lineRule="atLeast"/>
              <w:jc w:val="center"/>
              <w:rPr>
                <w:rFonts w:ascii="仿宋_GB2312" w:hAnsi="宋体" w:eastAsia="仿宋_GB2312"/>
                <w:szCs w:val="21"/>
              </w:rPr>
            </w:pPr>
          </w:p>
        </w:tc>
        <w:tc>
          <w:tcPr>
            <w:tcW w:w="1379" w:type="dxa"/>
            <w:vAlign w:val="center"/>
          </w:tcPr>
          <w:p>
            <w:pPr>
              <w:widowControl/>
              <w:spacing w:line="480" w:lineRule="atLeast"/>
              <w:jc w:val="center"/>
              <w:rPr>
                <w:rFonts w:ascii="仿宋_GB2312" w:hAnsi="宋体" w:eastAsia="仿宋_GB2312"/>
                <w:szCs w:val="21"/>
              </w:rPr>
            </w:pPr>
            <w:r>
              <w:rPr>
                <w:rFonts w:hint="eastAsia" w:ascii="仿宋_GB2312" w:hAnsi="宋体" w:eastAsia="仿宋_GB2312"/>
                <w:szCs w:val="21"/>
              </w:rPr>
              <w:t>响应人荣誉</w:t>
            </w:r>
          </w:p>
        </w:tc>
        <w:tc>
          <w:tcPr>
            <w:tcW w:w="1134" w:type="dxa"/>
            <w:vAlign w:val="center"/>
          </w:tcPr>
          <w:p>
            <w:pPr>
              <w:widowControl/>
              <w:spacing w:line="480" w:lineRule="atLeast"/>
              <w:jc w:val="center"/>
              <w:rPr>
                <w:rFonts w:ascii="仿宋_GB2312" w:hAnsi="宋体" w:eastAsia="仿宋_GB2312"/>
                <w:sz w:val="24"/>
                <w:szCs w:val="21"/>
              </w:rPr>
            </w:pPr>
            <w:r>
              <w:rPr>
                <w:rFonts w:ascii="仿宋_GB2312" w:hAnsi="宋体" w:eastAsia="仿宋_GB2312"/>
                <w:sz w:val="24"/>
                <w:szCs w:val="21"/>
              </w:rPr>
              <w:t>1</w:t>
            </w:r>
          </w:p>
        </w:tc>
        <w:tc>
          <w:tcPr>
            <w:tcW w:w="5114" w:type="dxa"/>
            <w:vAlign w:val="center"/>
          </w:tcPr>
          <w:p>
            <w:pPr>
              <w:rPr>
                <w:rFonts w:hint="eastAsia" w:ascii="仿宋_GB2312" w:eastAsia="仿宋_GB2312"/>
              </w:rPr>
            </w:pPr>
            <w:r>
              <w:rPr>
                <w:rFonts w:hint="eastAsia" w:ascii="仿宋_GB2312" w:eastAsia="仿宋_GB2312"/>
              </w:rPr>
              <w:t>获得县市级及以上司法行政机关、律师协会等相关机构授予的荣誉或表彰的，每项得0.5分。最高1分。</w:t>
            </w:r>
          </w:p>
          <w:p>
            <w:pPr>
              <w:rPr>
                <w:rFonts w:ascii="仿宋_GB2312" w:hAnsi="宋体" w:eastAsia="仿宋_GB2312"/>
                <w:sz w:val="24"/>
                <w:szCs w:val="21"/>
              </w:rPr>
            </w:pPr>
            <w:r>
              <w:rPr>
                <w:rFonts w:hint="eastAsia" w:ascii="仿宋_GB2312" w:eastAsia="仿宋_GB2312"/>
              </w:rPr>
              <w:t>证明材料：提供相关证书或表彰文件复制件。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8" w:hRule="atLeast"/>
          <w:jc w:val="center"/>
        </w:trPr>
        <w:tc>
          <w:tcPr>
            <w:tcW w:w="1129" w:type="dxa"/>
            <w:vMerge w:val="continue"/>
            <w:vAlign w:val="center"/>
          </w:tcPr>
          <w:p>
            <w:pPr>
              <w:snapToGrid w:val="0"/>
              <w:spacing w:line="480" w:lineRule="atLeast"/>
              <w:ind w:left="-107" w:leftChars="-51" w:right="-97" w:rightChars="-46"/>
              <w:jc w:val="center"/>
              <w:rPr>
                <w:rFonts w:ascii="仿宋_GB2312" w:hAnsi="宋体" w:eastAsia="仿宋_GB2312"/>
                <w:sz w:val="24"/>
                <w:szCs w:val="21"/>
              </w:rPr>
            </w:pPr>
          </w:p>
        </w:tc>
        <w:tc>
          <w:tcPr>
            <w:tcW w:w="1134" w:type="dxa"/>
            <w:vMerge w:val="restart"/>
            <w:vAlign w:val="center"/>
          </w:tcPr>
          <w:p>
            <w:pPr>
              <w:widowControl/>
              <w:spacing w:line="480" w:lineRule="atLeast"/>
              <w:jc w:val="center"/>
              <w:rPr>
                <w:rFonts w:ascii="仿宋_GB2312" w:hAnsi="宋体" w:eastAsia="仿宋_GB2312"/>
                <w:szCs w:val="21"/>
              </w:rPr>
            </w:pPr>
            <w:r>
              <w:rPr>
                <w:rFonts w:hint="eastAsia" w:ascii="仿宋_GB2312" w:hAnsi="宋体" w:eastAsia="仿宋_GB2312"/>
                <w:szCs w:val="21"/>
              </w:rPr>
              <w:t>项目负责人及团队情况（</w:t>
            </w:r>
            <w:r>
              <w:rPr>
                <w:rFonts w:ascii="仿宋_GB2312" w:hAnsi="宋体" w:eastAsia="仿宋_GB2312"/>
                <w:szCs w:val="21"/>
              </w:rPr>
              <w:t>15</w:t>
            </w:r>
            <w:r>
              <w:rPr>
                <w:rFonts w:hint="eastAsia" w:ascii="仿宋_GB2312" w:hAnsi="宋体" w:eastAsia="仿宋_GB2312"/>
                <w:szCs w:val="21"/>
              </w:rPr>
              <w:t>分）</w:t>
            </w:r>
          </w:p>
        </w:tc>
        <w:tc>
          <w:tcPr>
            <w:tcW w:w="1379" w:type="dxa"/>
            <w:vAlign w:val="center"/>
          </w:tcPr>
          <w:p>
            <w:pPr>
              <w:widowControl/>
              <w:spacing w:line="480" w:lineRule="atLeast"/>
              <w:jc w:val="center"/>
              <w:rPr>
                <w:rFonts w:ascii="仿宋_GB2312" w:hAnsi="宋体" w:eastAsia="仿宋_GB2312"/>
                <w:szCs w:val="21"/>
              </w:rPr>
            </w:pPr>
            <w:r>
              <w:rPr>
                <w:rFonts w:hint="eastAsia" w:ascii="仿宋_GB2312" w:hAnsi="宋体" w:eastAsia="仿宋_GB2312"/>
                <w:szCs w:val="21"/>
              </w:rPr>
              <w:t>项目负责人</w:t>
            </w:r>
          </w:p>
        </w:tc>
        <w:tc>
          <w:tcPr>
            <w:tcW w:w="1134" w:type="dxa"/>
            <w:vAlign w:val="center"/>
          </w:tcPr>
          <w:p>
            <w:pPr>
              <w:widowControl/>
              <w:spacing w:line="480" w:lineRule="atLeast"/>
              <w:jc w:val="center"/>
              <w:rPr>
                <w:rFonts w:ascii="仿宋_GB2312" w:hAnsi="宋体" w:eastAsia="仿宋_GB2312"/>
                <w:sz w:val="24"/>
                <w:szCs w:val="21"/>
              </w:rPr>
            </w:pPr>
            <w:r>
              <w:rPr>
                <w:rFonts w:hint="eastAsia" w:ascii="仿宋_GB2312" w:hAnsi="宋体" w:eastAsia="仿宋_GB2312"/>
                <w:sz w:val="24"/>
                <w:szCs w:val="21"/>
              </w:rPr>
              <w:t>1</w:t>
            </w:r>
            <w:r>
              <w:rPr>
                <w:rFonts w:ascii="仿宋_GB2312" w:hAnsi="宋体" w:eastAsia="仿宋_GB2312"/>
                <w:sz w:val="24"/>
                <w:szCs w:val="21"/>
              </w:rPr>
              <w:t>0</w:t>
            </w:r>
          </w:p>
        </w:tc>
        <w:tc>
          <w:tcPr>
            <w:tcW w:w="5114" w:type="dxa"/>
            <w:vAlign w:val="center"/>
          </w:tcPr>
          <w:p>
            <w:pPr>
              <w:rPr>
                <w:rFonts w:hint="eastAsia" w:ascii="仿宋_GB2312" w:eastAsia="仿宋_GB2312"/>
              </w:rPr>
            </w:pPr>
            <w:r>
              <w:rPr>
                <w:rFonts w:hint="eastAsia" w:ascii="仿宋_GB2312" w:eastAsia="仿宋_GB2312"/>
                <w:lang w:val="en-US" w:eastAsia="zh-CN"/>
              </w:rPr>
              <w:t>1、</w:t>
            </w:r>
            <w:r>
              <w:rPr>
                <w:rFonts w:hint="eastAsia" w:ascii="仿宋_GB2312" w:eastAsia="仿宋_GB2312"/>
              </w:rPr>
              <w:t>自2018年1月1日至今（以合同签订时间为准），项目负责人有铁路项目投融资、履约管理咨询服务业绩的，每个得2分，最高6分；</w:t>
            </w:r>
          </w:p>
          <w:p>
            <w:pPr>
              <w:rPr>
                <w:rFonts w:hint="eastAsia" w:ascii="仿宋_GB2312" w:eastAsia="仿宋_GB2312"/>
              </w:rPr>
            </w:pPr>
            <w:r>
              <w:rPr>
                <w:rFonts w:hint="eastAsia" w:ascii="仿宋_GB2312" w:eastAsia="仿宋_GB2312"/>
                <w:lang w:val="en-US" w:eastAsia="zh-CN"/>
              </w:rPr>
              <w:t>2、</w:t>
            </w:r>
            <w:r>
              <w:rPr>
                <w:rFonts w:hint="eastAsia" w:ascii="仿宋_GB2312" w:eastAsia="仿宋_GB2312"/>
              </w:rPr>
              <w:t>自2018年1月1日至今（以合同签订时间为准），项目负责人有铁路或轨道交通企事业单位常年法律顾问服务业绩的，每一个得2分，最高4分。</w:t>
            </w:r>
          </w:p>
          <w:p>
            <w:pPr>
              <w:rPr>
                <w:rFonts w:hint="eastAsia" w:ascii="仿宋_GB2312" w:eastAsia="仿宋_GB2312"/>
              </w:rPr>
            </w:pPr>
            <w:r>
              <w:rPr>
                <w:rFonts w:hint="eastAsia" w:ascii="仿宋_GB2312" w:eastAsia="仿宋_GB2312"/>
              </w:rPr>
              <w:t>证明材料：项目负责人必须在投标人处注册执业，提供业绩证明或合同</w:t>
            </w:r>
            <w:r>
              <w:rPr>
                <w:rFonts w:hint="eastAsia" w:ascii="仿宋_GB2312" w:eastAsia="仿宋_GB2312"/>
                <w:lang w:eastAsia="zh-CN"/>
              </w:rPr>
              <w:t>复印</w:t>
            </w:r>
            <w:r>
              <w:rPr>
                <w:rFonts w:hint="eastAsia" w:ascii="仿宋_GB2312" w:eastAsia="仿宋_GB2312"/>
              </w:rPr>
              <w:t>件。</w:t>
            </w:r>
          </w:p>
          <w:p>
            <w:r>
              <w:rPr>
                <w:rFonts w:hint="eastAsia" w:ascii="仿宋_GB2312" w:eastAsia="仿宋_GB2312"/>
              </w:rPr>
              <w:t>业绩与响应人业绩不重复计分，且同一业绩按最高得分 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jc w:val="center"/>
        </w:trPr>
        <w:tc>
          <w:tcPr>
            <w:tcW w:w="1129" w:type="dxa"/>
            <w:vMerge w:val="continue"/>
            <w:vAlign w:val="center"/>
          </w:tcPr>
          <w:p>
            <w:pPr>
              <w:snapToGrid w:val="0"/>
              <w:spacing w:line="480" w:lineRule="atLeast"/>
              <w:ind w:left="-107" w:leftChars="-51" w:right="-97" w:rightChars="-46"/>
              <w:jc w:val="center"/>
              <w:rPr>
                <w:rFonts w:ascii="仿宋_GB2312" w:hAnsi="宋体" w:eastAsia="仿宋_GB2312"/>
                <w:sz w:val="24"/>
                <w:szCs w:val="21"/>
              </w:rPr>
            </w:pPr>
          </w:p>
        </w:tc>
        <w:tc>
          <w:tcPr>
            <w:tcW w:w="1134" w:type="dxa"/>
            <w:vMerge w:val="continue"/>
            <w:vAlign w:val="center"/>
          </w:tcPr>
          <w:p>
            <w:pPr>
              <w:widowControl/>
              <w:spacing w:line="480" w:lineRule="atLeast"/>
              <w:jc w:val="center"/>
              <w:rPr>
                <w:rFonts w:ascii="仿宋_GB2312" w:hAnsi="宋体" w:eastAsia="仿宋_GB2312"/>
                <w:szCs w:val="21"/>
              </w:rPr>
            </w:pPr>
          </w:p>
        </w:tc>
        <w:tc>
          <w:tcPr>
            <w:tcW w:w="1379" w:type="dxa"/>
            <w:vAlign w:val="center"/>
          </w:tcPr>
          <w:p>
            <w:pPr>
              <w:widowControl/>
              <w:spacing w:line="480" w:lineRule="atLeast"/>
              <w:jc w:val="center"/>
              <w:rPr>
                <w:rFonts w:ascii="仿宋_GB2312" w:hAnsi="宋体" w:eastAsia="仿宋_GB2312"/>
                <w:szCs w:val="21"/>
              </w:rPr>
            </w:pPr>
            <w:r>
              <w:rPr>
                <w:rFonts w:hint="eastAsia" w:ascii="仿宋_GB2312" w:hAnsi="宋体" w:eastAsia="仿宋_GB2312"/>
                <w:szCs w:val="21"/>
              </w:rPr>
              <w:t>团队人员配备</w:t>
            </w:r>
          </w:p>
        </w:tc>
        <w:tc>
          <w:tcPr>
            <w:tcW w:w="1134" w:type="dxa"/>
            <w:vAlign w:val="center"/>
          </w:tcPr>
          <w:p>
            <w:pPr>
              <w:widowControl/>
              <w:spacing w:line="480" w:lineRule="atLeast"/>
              <w:jc w:val="center"/>
              <w:rPr>
                <w:rFonts w:ascii="仿宋_GB2312" w:hAnsi="宋体" w:eastAsia="仿宋_GB2312"/>
                <w:sz w:val="24"/>
                <w:szCs w:val="21"/>
              </w:rPr>
            </w:pPr>
            <w:r>
              <w:rPr>
                <w:rFonts w:ascii="仿宋_GB2312" w:hAnsi="宋体" w:eastAsia="仿宋_GB2312"/>
                <w:sz w:val="24"/>
                <w:szCs w:val="21"/>
              </w:rPr>
              <w:t>5</w:t>
            </w:r>
          </w:p>
        </w:tc>
        <w:tc>
          <w:tcPr>
            <w:tcW w:w="5114" w:type="dxa"/>
            <w:vAlign w:val="center"/>
          </w:tcPr>
          <w:p>
            <w:pPr>
              <w:rPr>
                <w:rFonts w:hint="eastAsia" w:ascii="仿宋_GB2312" w:eastAsia="仿宋_GB2312"/>
                <w:lang w:val="en-US" w:eastAsia="zh-CN"/>
              </w:rPr>
            </w:pPr>
            <w:r>
              <w:rPr>
                <w:rFonts w:hint="eastAsia" w:ascii="仿宋_GB2312" w:eastAsia="仿宋_GB2312"/>
                <w:lang w:val="en-US" w:eastAsia="zh-CN"/>
              </w:rPr>
              <w:t>1、项目成员执业时间5年（含本数）以上的律师每人得1分。最高2分。</w:t>
            </w:r>
          </w:p>
          <w:p>
            <w:pPr>
              <w:rPr>
                <w:rFonts w:hint="eastAsia" w:ascii="仿宋_GB2312" w:eastAsia="仿宋_GB2312"/>
                <w:lang w:val="en-US" w:eastAsia="zh-CN"/>
              </w:rPr>
            </w:pPr>
            <w:r>
              <w:rPr>
                <w:rFonts w:hint="eastAsia" w:ascii="仿宋_GB2312" w:eastAsia="仿宋_GB2312"/>
                <w:lang w:val="en-US" w:eastAsia="zh-CN"/>
              </w:rPr>
              <w:t>2、项目成员具有国有企业的增资、股权投资、股权收购、国有资产处置、公司合并、分立、资产重组等业务经验的，每一个得1.5分，最高3分。</w:t>
            </w:r>
          </w:p>
          <w:p>
            <w:pPr>
              <w:rPr>
                <w:rFonts w:hint="eastAsia" w:ascii="仿宋_GB2312" w:eastAsia="仿宋_GB2312"/>
                <w:lang w:val="en-US" w:eastAsia="zh-CN"/>
              </w:rPr>
            </w:pPr>
            <w:r>
              <w:rPr>
                <w:rFonts w:hint="eastAsia" w:ascii="仿宋_GB2312" w:eastAsia="仿宋_GB2312"/>
                <w:lang w:val="en-US" w:eastAsia="zh-CN"/>
              </w:rPr>
              <w:t>证明材料：团队成员必须在投标人处注册执业，提供执业证书以及业绩证明或合同复制件。</w:t>
            </w:r>
          </w:p>
          <w:p>
            <w:r>
              <w:rPr>
                <w:rFonts w:hint="eastAsia" w:ascii="仿宋_GB2312" w:eastAsia="仿宋_GB2312"/>
                <w:lang w:val="en-US" w:eastAsia="zh-CN"/>
              </w:rPr>
              <w:t>业绩与响应人业绩不重复计分，且同一业绩按最高得分 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1129" w:type="dxa"/>
            <w:vMerge w:val="restart"/>
            <w:vAlign w:val="center"/>
          </w:tcPr>
          <w:p>
            <w:pPr>
              <w:snapToGrid w:val="0"/>
              <w:spacing w:line="480" w:lineRule="atLeast"/>
              <w:ind w:left="-107" w:leftChars="-51" w:right="-97" w:rightChars="-46"/>
              <w:jc w:val="center"/>
              <w:rPr>
                <w:rFonts w:ascii="仿宋_GB2312" w:hAnsi="宋体" w:eastAsia="仿宋_GB2312"/>
                <w:sz w:val="24"/>
                <w:szCs w:val="21"/>
              </w:rPr>
            </w:pPr>
            <w:r>
              <w:rPr>
                <w:rFonts w:hint="eastAsia" w:ascii="仿宋_GB2312" w:hAnsi="宋体" w:eastAsia="仿宋_GB2312"/>
                <w:sz w:val="24"/>
                <w:szCs w:val="21"/>
              </w:rPr>
              <w:t>技术评分(20分)</w:t>
            </w:r>
          </w:p>
        </w:tc>
        <w:tc>
          <w:tcPr>
            <w:tcW w:w="2513" w:type="dxa"/>
            <w:gridSpan w:val="2"/>
            <w:vAlign w:val="center"/>
          </w:tcPr>
          <w:p>
            <w:pPr>
              <w:widowControl/>
              <w:spacing w:line="480" w:lineRule="atLeast"/>
              <w:jc w:val="center"/>
              <w:rPr>
                <w:rFonts w:hint="eastAsia" w:ascii="仿宋_GB2312" w:hAnsi="宋体" w:eastAsia="仿宋_GB2312"/>
                <w:szCs w:val="21"/>
              </w:rPr>
            </w:pPr>
            <w:r>
              <w:rPr>
                <w:rFonts w:hint="eastAsia" w:ascii="仿宋_GB2312" w:hAnsi="宋体" w:eastAsia="仿宋_GB2312"/>
                <w:szCs w:val="21"/>
              </w:rPr>
              <w:t>总体服务方案</w:t>
            </w:r>
          </w:p>
        </w:tc>
        <w:tc>
          <w:tcPr>
            <w:tcW w:w="1134" w:type="dxa"/>
            <w:vAlign w:val="center"/>
          </w:tcPr>
          <w:p>
            <w:pPr>
              <w:widowControl/>
              <w:spacing w:line="480" w:lineRule="atLeast"/>
              <w:jc w:val="center"/>
              <w:rPr>
                <w:rFonts w:hint="eastAsia" w:ascii="仿宋_GB2312" w:hAnsi="宋体" w:eastAsia="仿宋_GB2312"/>
                <w:sz w:val="24"/>
                <w:szCs w:val="21"/>
                <w:lang w:val="en-US" w:eastAsia="zh-CN"/>
              </w:rPr>
            </w:pPr>
            <w:r>
              <w:rPr>
                <w:rFonts w:hint="eastAsia" w:ascii="仿宋_GB2312" w:hAnsi="宋体" w:eastAsia="仿宋_GB2312"/>
                <w:sz w:val="24"/>
                <w:szCs w:val="21"/>
                <w:lang w:val="en-US" w:eastAsia="zh-CN"/>
              </w:rPr>
              <w:t>15</w:t>
            </w:r>
          </w:p>
        </w:tc>
        <w:tc>
          <w:tcPr>
            <w:tcW w:w="5114" w:type="dxa"/>
            <w:vAlign w:val="center"/>
          </w:tcPr>
          <w:p>
            <w:pPr>
              <w:rPr>
                <w:rFonts w:hint="eastAsia" w:ascii="仿宋_GB2312" w:eastAsia="仿宋_GB2312"/>
                <w:lang w:val="en-US" w:eastAsia="zh-CN"/>
              </w:rPr>
            </w:pPr>
            <w:r>
              <w:rPr>
                <w:rFonts w:hint="eastAsia" w:ascii="仿宋_GB2312" w:eastAsia="仿宋_GB2312"/>
                <w:lang w:val="en-US" w:eastAsia="zh-CN"/>
              </w:rPr>
              <w:t>响应人对本次服务工作的特点和服务思路的理解；响应人提供的服务范围、服务内容、服务质量标准、服务质量保证措施及承诺等。横向比较，酌情计分：</w:t>
            </w:r>
          </w:p>
          <w:p>
            <w:pPr>
              <w:rPr>
                <w:rFonts w:hint="eastAsia" w:ascii="仿宋_GB2312" w:eastAsia="仿宋_GB2312"/>
                <w:lang w:val="en-US" w:eastAsia="zh-CN"/>
              </w:rPr>
            </w:pPr>
            <w:r>
              <w:rPr>
                <w:rFonts w:hint="eastAsia" w:ascii="仿宋_GB2312" w:eastAsia="仿宋_GB2312"/>
                <w:lang w:val="en-US" w:eastAsia="zh-CN"/>
              </w:rPr>
              <w:t>优：10.1-15；良：5.1-10；一般：1-5。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129" w:type="dxa"/>
            <w:vMerge w:val="continue"/>
            <w:vAlign w:val="center"/>
          </w:tcPr>
          <w:p>
            <w:pPr>
              <w:snapToGrid w:val="0"/>
              <w:spacing w:line="480" w:lineRule="atLeast"/>
              <w:ind w:left="-107" w:leftChars="-51" w:right="-97" w:rightChars="-46"/>
              <w:jc w:val="center"/>
              <w:rPr>
                <w:rFonts w:ascii="仿宋_GB2312" w:hAnsi="宋体" w:eastAsia="仿宋_GB2312"/>
                <w:sz w:val="24"/>
                <w:szCs w:val="21"/>
              </w:rPr>
            </w:pPr>
          </w:p>
        </w:tc>
        <w:tc>
          <w:tcPr>
            <w:tcW w:w="2513" w:type="dxa"/>
            <w:gridSpan w:val="2"/>
            <w:vAlign w:val="center"/>
          </w:tcPr>
          <w:p>
            <w:pPr>
              <w:widowControl/>
              <w:spacing w:line="480" w:lineRule="atLeast"/>
              <w:jc w:val="center"/>
              <w:rPr>
                <w:rFonts w:hint="eastAsia" w:ascii="仿宋_GB2312" w:hAnsi="宋体" w:eastAsia="仿宋_GB2312"/>
                <w:szCs w:val="21"/>
              </w:rPr>
            </w:pPr>
            <w:r>
              <w:rPr>
                <w:rFonts w:hint="eastAsia" w:ascii="仿宋_GB2312" w:hAnsi="宋体" w:eastAsia="仿宋_GB2312"/>
                <w:szCs w:val="21"/>
              </w:rPr>
              <w:t>其他相关实施把控能力</w:t>
            </w:r>
          </w:p>
        </w:tc>
        <w:tc>
          <w:tcPr>
            <w:tcW w:w="1134" w:type="dxa"/>
            <w:vAlign w:val="center"/>
          </w:tcPr>
          <w:p>
            <w:pPr>
              <w:widowControl/>
              <w:spacing w:line="480" w:lineRule="atLeast"/>
              <w:jc w:val="center"/>
              <w:rPr>
                <w:rFonts w:hint="eastAsia" w:ascii="仿宋_GB2312" w:hAnsi="宋体" w:eastAsia="仿宋_GB2312"/>
                <w:sz w:val="24"/>
                <w:szCs w:val="21"/>
                <w:lang w:val="en-US" w:eastAsia="zh-CN"/>
              </w:rPr>
            </w:pPr>
            <w:r>
              <w:rPr>
                <w:rFonts w:hint="eastAsia" w:ascii="仿宋_GB2312" w:hAnsi="宋体" w:eastAsia="仿宋_GB2312"/>
                <w:sz w:val="24"/>
                <w:szCs w:val="21"/>
                <w:lang w:val="en-US" w:eastAsia="zh-CN"/>
              </w:rPr>
              <w:t>5</w:t>
            </w:r>
          </w:p>
        </w:tc>
        <w:tc>
          <w:tcPr>
            <w:tcW w:w="5114" w:type="dxa"/>
            <w:vAlign w:val="center"/>
          </w:tcPr>
          <w:p>
            <w:pPr>
              <w:rPr>
                <w:rFonts w:hint="eastAsia" w:ascii="仿宋_GB2312" w:eastAsia="仿宋_GB2312"/>
                <w:lang w:val="en-US" w:eastAsia="zh-CN"/>
              </w:rPr>
            </w:pPr>
            <w:r>
              <w:rPr>
                <w:rFonts w:hint="eastAsia" w:ascii="仿宋_GB2312" w:eastAsia="仿宋_GB2312"/>
                <w:lang w:val="en-US" w:eastAsia="zh-CN"/>
              </w:rPr>
              <w:t>除人员及方案基本措施外，具备其他相关实施把控能力，具备实施本项目的其他优势。横向对比，酌情计分：</w:t>
            </w:r>
          </w:p>
          <w:p>
            <w:pPr>
              <w:rPr>
                <w:rFonts w:hint="eastAsia" w:ascii="仿宋_GB2312" w:eastAsia="仿宋_GB2312"/>
                <w:lang w:val="en-US" w:eastAsia="zh-CN"/>
              </w:rPr>
            </w:pPr>
            <w:r>
              <w:rPr>
                <w:rFonts w:hint="eastAsia" w:ascii="仿宋_GB2312" w:eastAsia="仿宋_GB2312"/>
                <w:lang w:val="en-US" w:eastAsia="zh-CN"/>
              </w:rPr>
              <w:t>优：4.1-5；良：3.1-4；一般：1-3。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129" w:type="dxa"/>
            <w:vAlign w:val="center"/>
          </w:tcPr>
          <w:p>
            <w:pPr>
              <w:snapToGrid w:val="0"/>
              <w:spacing w:line="480" w:lineRule="atLeast"/>
              <w:ind w:left="-107" w:leftChars="-51" w:right="-97" w:rightChars="-46"/>
              <w:jc w:val="center"/>
              <w:rPr>
                <w:rFonts w:hint="eastAsia" w:ascii="仿宋_GB2312" w:hAnsi="宋体" w:eastAsia="仿宋_GB2312"/>
                <w:sz w:val="24"/>
                <w:szCs w:val="21"/>
                <w:lang w:eastAsia="zh-CN"/>
              </w:rPr>
            </w:pPr>
            <w:r>
              <w:rPr>
                <w:rFonts w:hint="eastAsia" w:ascii="仿宋_GB2312" w:hAnsi="宋体" w:eastAsia="仿宋_GB2312"/>
                <w:sz w:val="24"/>
                <w:szCs w:val="21"/>
                <w:lang w:eastAsia="zh-CN"/>
              </w:rPr>
              <w:t>报价评审（</w:t>
            </w:r>
            <w:r>
              <w:rPr>
                <w:rFonts w:hint="eastAsia" w:ascii="仿宋_GB2312" w:hAnsi="宋体" w:eastAsia="仿宋_GB2312"/>
                <w:sz w:val="24"/>
                <w:szCs w:val="21"/>
                <w:lang w:val="en-US" w:eastAsia="zh-CN"/>
              </w:rPr>
              <w:t>50分</w:t>
            </w:r>
            <w:r>
              <w:rPr>
                <w:rFonts w:hint="eastAsia" w:ascii="仿宋_GB2312" w:hAnsi="宋体" w:eastAsia="仿宋_GB2312"/>
                <w:sz w:val="24"/>
                <w:szCs w:val="21"/>
                <w:lang w:eastAsia="zh-CN"/>
              </w:rPr>
              <w:t>）</w:t>
            </w:r>
          </w:p>
        </w:tc>
        <w:tc>
          <w:tcPr>
            <w:tcW w:w="2513" w:type="dxa"/>
            <w:gridSpan w:val="2"/>
            <w:vAlign w:val="center"/>
          </w:tcPr>
          <w:p>
            <w:pPr>
              <w:widowControl/>
              <w:spacing w:line="480" w:lineRule="atLeast"/>
              <w:jc w:val="center"/>
              <w:rPr>
                <w:rFonts w:hint="eastAsia" w:ascii="仿宋_GB2312" w:hAnsi="宋体" w:eastAsia="仿宋_GB2312"/>
                <w:szCs w:val="21"/>
                <w:lang w:eastAsia="zh-CN"/>
              </w:rPr>
            </w:pPr>
            <w:r>
              <w:rPr>
                <w:rFonts w:hint="eastAsia" w:ascii="仿宋_GB2312" w:hAnsi="宋体" w:eastAsia="仿宋_GB2312"/>
                <w:szCs w:val="21"/>
                <w:lang w:eastAsia="zh-CN"/>
              </w:rPr>
              <w:t>报价得分</w:t>
            </w:r>
          </w:p>
        </w:tc>
        <w:tc>
          <w:tcPr>
            <w:tcW w:w="1134" w:type="dxa"/>
            <w:vAlign w:val="center"/>
          </w:tcPr>
          <w:p>
            <w:pPr>
              <w:widowControl/>
              <w:spacing w:line="480" w:lineRule="atLeast"/>
              <w:jc w:val="center"/>
              <w:rPr>
                <w:rFonts w:hint="eastAsia" w:ascii="仿宋_GB2312" w:hAnsi="宋体" w:eastAsia="仿宋_GB2312"/>
                <w:sz w:val="24"/>
                <w:szCs w:val="21"/>
                <w:lang w:val="en-US" w:eastAsia="zh-CN"/>
              </w:rPr>
            </w:pPr>
            <w:r>
              <w:rPr>
                <w:rFonts w:hint="eastAsia" w:ascii="仿宋_GB2312" w:hAnsi="宋体" w:eastAsia="仿宋_GB2312"/>
                <w:sz w:val="24"/>
                <w:szCs w:val="21"/>
                <w:lang w:val="en-US" w:eastAsia="zh-CN"/>
              </w:rPr>
              <w:t>50</w:t>
            </w:r>
          </w:p>
        </w:tc>
        <w:tc>
          <w:tcPr>
            <w:tcW w:w="5114" w:type="dxa"/>
            <w:vAlign w:val="center"/>
          </w:tcPr>
          <w:p>
            <w:pPr>
              <w:rPr>
                <w:rFonts w:hint="eastAsia" w:ascii="仿宋_GB2312" w:eastAsia="仿宋_GB2312"/>
              </w:rPr>
            </w:pPr>
            <w:r>
              <w:rPr>
                <w:rFonts w:hint="eastAsia" w:ascii="仿宋_GB2312" w:eastAsia="仿宋_GB2312"/>
              </w:rPr>
              <w:t>1、进入评分范围的投标评标价的算术平均值为评标基准价（投标评标价在</w:t>
            </w:r>
            <w:r>
              <w:rPr>
                <w:rFonts w:ascii="仿宋_GB2312" w:eastAsia="仿宋_GB2312"/>
              </w:rPr>
              <w:t>5</w:t>
            </w:r>
            <w:r>
              <w:rPr>
                <w:rFonts w:hint="eastAsia" w:ascii="仿宋_GB2312" w:eastAsia="仿宋_GB2312"/>
              </w:rPr>
              <w:t>个及以上时，去除一个最高价和一个最低价；投标评标价在 8 个及以上时，去除一个最高、次高价和一个最低、次低价。</w:t>
            </w:r>
          </w:p>
          <w:p>
            <w:pPr>
              <w:rPr>
                <w:rFonts w:hint="eastAsia" w:ascii="仿宋_GB2312" w:eastAsia="仿宋_GB2312"/>
              </w:rPr>
            </w:pPr>
            <w:r>
              <w:rPr>
                <w:rFonts w:hint="eastAsia" w:ascii="仿宋_GB2312" w:eastAsia="仿宋_GB2312"/>
              </w:rPr>
              <w:t>2、（1）若投标人投标评标价＞评标基准价，则报价得分=</w:t>
            </w:r>
            <w:r>
              <w:rPr>
                <w:rFonts w:hint="eastAsia" w:ascii="仿宋_GB2312" w:eastAsia="仿宋_GB2312"/>
                <w:lang w:val="en-US" w:eastAsia="zh-CN"/>
              </w:rPr>
              <w:t>5</w:t>
            </w:r>
            <w:r>
              <w:rPr>
                <w:rFonts w:hint="eastAsia" w:ascii="仿宋_GB2312" w:eastAsia="仿宋_GB2312"/>
              </w:rPr>
              <w:t>0-偏差率×100×E1；</w:t>
            </w:r>
          </w:p>
          <w:p>
            <w:pPr>
              <w:rPr>
                <w:rFonts w:hint="eastAsia" w:ascii="仿宋_GB2312" w:eastAsia="仿宋_GB2312"/>
              </w:rPr>
            </w:pPr>
            <w:r>
              <w:rPr>
                <w:rFonts w:hint="eastAsia" w:ascii="仿宋_GB2312" w:eastAsia="仿宋_GB2312"/>
              </w:rPr>
              <w:t>（2）若投标人投标评标价≤评标基准价，则报价得分=</w:t>
            </w:r>
            <w:r>
              <w:rPr>
                <w:rFonts w:hint="eastAsia" w:ascii="仿宋_GB2312" w:eastAsia="仿宋_GB2312"/>
                <w:lang w:val="en-US" w:eastAsia="zh-CN"/>
              </w:rPr>
              <w:t>5</w:t>
            </w:r>
            <w:r>
              <w:rPr>
                <w:rFonts w:hint="eastAsia" w:ascii="仿宋_GB2312" w:eastAsia="仿宋_GB2312"/>
              </w:rPr>
              <w:t>0+偏差率×100×E2.</w:t>
            </w:r>
          </w:p>
          <w:p>
            <w:pPr>
              <w:rPr>
                <w:rFonts w:hint="eastAsia" w:ascii="仿宋_GB2312" w:eastAsia="仿宋_GB2312"/>
              </w:rPr>
            </w:pPr>
            <w:r>
              <w:rPr>
                <w:rFonts w:hint="eastAsia" w:ascii="仿宋_GB2312" w:eastAsia="仿宋_GB2312"/>
              </w:rPr>
              <w:t>E1=0.2,E2=0.1 得分保留二位小数。</w:t>
            </w:r>
          </w:p>
          <w:p>
            <w:pPr>
              <w:rPr>
                <w:rFonts w:hint="eastAsia" w:ascii="仿宋_GB2312" w:eastAsia="仿宋_GB2312"/>
              </w:rPr>
            </w:pPr>
            <w:r>
              <w:rPr>
                <w:rFonts w:hint="eastAsia" w:ascii="仿宋_GB2312" w:eastAsia="仿宋_GB2312"/>
              </w:rPr>
              <w:t>偏差率=(投标评标价-评标基准价)/评标基准价</w:t>
            </w:r>
          </w:p>
          <w:p>
            <w:pPr>
              <w:rPr>
                <w:rFonts w:hint="eastAsia" w:ascii="仿宋_GB2312" w:eastAsia="仿宋_GB2312" w:hAnsiTheme="minorEastAsia" w:cstheme="minorEastAsia"/>
                <w:sz w:val="20"/>
                <w:szCs w:val="20"/>
              </w:rPr>
            </w:pPr>
            <w:r>
              <w:rPr>
                <w:rFonts w:hint="eastAsia" w:ascii="仿宋_GB2312" w:eastAsia="仿宋_GB2312"/>
              </w:rPr>
              <w:t>3、报价超过招标文件规定的预算价（最高限价）的或报价明显不合理或者低于成本，且在规定时间内不能合理说明原因并提供证明材料的，作无效标处理。</w:t>
            </w:r>
          </w:p>
        </w:tc>
      </w:tr>
    </w:tbl>
    <w:p>
      <w:pPr>
        <w:adjustRightInd w:val="0"/>
        <w:snapToGrid w:val="0"/>
        <w:spacing w:line="400" w:lineRule="exact"/>
        <w:ind w:firstLine="360" w:firstLineChars="200"/>
        <w:rPr>
          <w:rFonts w:eastAsiaTheme="minorEastAsia"/>
          <w:sz w:val="18"/>
          <w:szCs w:val="18"/>
          <w:highlight w:val="none"/>
        </w:rPr>
      </w:pPr>
    </w:p>
    <w:p>
      <w:pPr>
        <w:pStyle w:val="2"/>
        <w:sectPr>
          <w:pgSz w:w="11907" w:h="16840"/>
          <w:pgMar w:top="1361" w:right="1418" w:bottom="1361" w:left="1418" w:header="680" w:footer="680" w:gutter="0"/>
          <w:pgNumType w:fmt="numberInDash" w:start="1"/>
          <w:cols w:space="720" w:num="1"/>
          <w:titlePg/>
          <w:docGrid w:type="lines" w:linePitch="312" w:charSpace="0"/>
        </w:sectPr>
      </w:pPr>
    </w:p>
    <w:p>
      <w:pPr>
        <w:widowControl/>
        <w:spacing w:line="440" w:lineRule="exact"/>
        <w:jc w:val="center"/>
        <w:outlineLvl w:val="0"/>
        <w:rPr>
          <w:highlight w:val="none"/>
        </w:rPr>
      </w:pPr>
      <w:bookmarkStart w:id="17" w:name="_Toc103178534"/>
      <w:r>
        <w:rPr>
          <w:rFonts w:eastAsia="黑体"/>
          <w:sz w:val="32"/>
          <w:szCs w:val="32"/>
          <w:highlight w:val="none"/>
        </w:rPr>
        <w:t>第四章 合同</w:t>
      </w:r>
      <w:r>
        <w:rPr>
          <w:rFonts w:eastAsia="黑体"/>
          <w:sz w:val="32"/>
          <w:szCs w:val="32"/>
          <w:highlight w:val="none"/>
          <w:lang w:eastAsia="zh-Hans"/>
        </w:rPr>
        <w:t>条款及</w:t>
      </w:r>
      <w:r>
        <w:rPr>
          <w:rFonts w:eastAsia="黑体"/>
          <w:sz w:val="32"/>
          <w:szCs w:val="32"/>
          <w:highlight w:val="none"/>
        </w:rPr>
        <w:t>格式（供参考）</w:t>
      </w:r>
      <w:bookmarkEnd w:id="17"/>
      <w:r>
        <w:rPr>
          <w:highlight w:val="none"/>
        </w:rPr>
        <w:t xml:space="preserve">   </w:t>
      </w:r>
    </w:p>
    <w:p>
      <w:pPr>
        <w:jc w:val="center"/>
        <w:rPr>
          <w:rFonts w:eastAsia="新宋体"/>
          <w:b/>
          <w:bCs/>
          <w:sz w:val="44"/>
          <w:szCs w:val="44"/>
        </w:rPr>
      </w:pPr>
    </w:p>
    <w:p>
      <w:pPr>
        <w:jc w:val="center"/>
        <w:rPr>
          <w:rFonts w:eastAsia="新宋体"/>
          <w:b/>
          <w:bCs/>
          <w:sz w:val="44"/>
          <w:szCs w:val="44"/>
        </w:rPr>
      </w:pPr>
      <w:r>
        <w:rPr>
          <w:rFonts w:eastAsia="新宋体"/>
          <w:b/>
          <w:bCs/>
          <w:sz w:val="44"/>
          <w:szCs w:val="44"/>
        </w:rPr>
        <w:t>企业常年法律顾问合同书</w:t>
      </w:r>
    </w:p>
    <w:p>
      <w:pPr>
        <w:rPr>
          <w:rFonts w:eastAsia="新宋体"/>
          <w:sz w:val="28"/>
          <w:szCs w:val="28"/>
        </w:rPr>
      </w:pPr>
    </w:p>
    <w:p>
      <w:pPr>
        <w:spacing w:line="520" w:lineRule="exact"/>
        <w:ind w:firstLine="600" w:firstLineChars="20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聘请人（甲方）：</w:t>
      </w:r>
      <w:r>
        <w:rPr>
          <w:rFonts w:hint="eastAsia" w:ascii="仿宋_GB2312" w:hAnsi="仿宋_GB2312" w:eastAsia="仿宋_GB2312" w:cs="仿宋_GB2312"/>
          <w:sz w:val="30"/>
          <w:szCs w:val="30"/>
          <w:u w:val="single"/>
        </w:rPr>
        <w:t xml:space="preserve">                                  </w:t>
      </w:r>
    </w:p>
    <w:p>
      <w:pPr>
        <w:spacing w:line="520" w:lineRule="exact"/>
        <w:ind w:firstLine="600" w:firstLineChars="200"/>
        <w:rPr>
          <w:rFonts w:hint="eastAsia" w:ascii="仿宋_GB2312" w:hAnsi="仿宋_GB2312" w:eastAsia="仿宋_GB2312" w:cs="仿宋_GB2312"/>
          <w:b/>
          <w:sz w:val="30"/>
          <w:szCs w:val="30"/>
          <w:u w:val="single"/>
        </w:rPr>
      </w:pPr>
      <w:r>
        <w:rPr>
          <w:rFonts w:hint="eastAsia" w:ascii="仿宋_GB2312" w:hAnsi="仿宋_GB2312" w:eastAsia="仿宋_GB2312" w:cs="仿宋_GB2312"/>
          <w:sz w:val="30"/>
          <w:szCs w:val="30"/>
        </w:rPr>
        <w:t>受聘方（乙方）：</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
          <w:sz w:val="30"/>
          <w:szCs w:val="30"/>
          <w:u w:val="single"/>
        </w:rPr>
        <w:t xml:space="preserve"> </w:t>
      </w:r>
    </w:p>
    <w:p>
      <w:pPr>
        <w:spacing w:line="520" w:lineRule="exact"/>
        <w:ind w:firstLine="480" w:firstLineChars="200"/>
        <w:rPr>
          <w:sz w:val="24"/>
        </w:rPr>
      </w:pP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为深入推进依法治企，建立</w:t>
      </w:r>
      <w:r>
        <w:rPr>
          <w:rFonts w:hint="eastAsia" w:ascii="仿宋_GB2312" w:hAnsi="仿宋_GB2312" w:eastAsia="仿宋_GB2312" w:cs="仿宋_GB2312"/>
          <w:kern w:val="0"/>
          <w:sz w:val="21"/>
          <w:szCs w:val="21"/>
          <w:lang w:eastAsia="zh-Hans"/>
        </w:rPr>
        <w:t>公司</w:t>
      </w:r>
      <w:r>
        <w:rPr>
          <w:rFonts w:hint="eastAsia" w:ascii="仿宋_GB2312" w:hAnsi="仿宋_GB2312" w:eastAsia="仿宋_GB2312" w:cs="仿宋_GB2312"/>
          <w:kern w:val="0"/>
          <w:sz w:val="21"/>
          <w:szCs w:val="21"/>
        </w:rPr>
        <w:t>内部重大决策合法性审查机制，降低重大行政决策的法律风险，甲乙双方依据《中华人民共和国民法典》、《中华人民共和国律师法》和其它相关法律、法规，经充分友好协商，就聘请常年法律顾问提供法律服务事项，订立如下合同条款，以期遵照履行：</w:t>
      </w:r>
      <w:bookmarkStart w:id="18" w:name="_Toc3715"/>
    </w:p>
    <w:p>
      <w:pPr>
        <w:pStyle w:val="19"/>
        <w:ind w:firstLine="422" w:firstLineChars="200"/>
        <w:jc w:val="both"/>
        <w:rPr>
          <w:rFonts w:hint="eastAsia" w:ascii="仿宋_GB2312" w:hAnsi="仿宋_GB2312" w:eastAsia="仿宋_GB2312" w:cs="仿宋_GB2312"/>
          <w:sz w:val="21"/>
          <w:szCs w:val="21"/>
        </w:rPr>
      </w:pPr>
      <w:bookmarkStart w:id="19" w:name="_Toc102045095"/>
      <w:r>
        <w:rPr>
          <w:rFonts w:hint="eastAsia" w:ascii="仿宋_GB2312" w:hAnsi="仿宋_GB2312" w:eastAsia="仿宋_GB2312" w:cs="仿宋_GB2312"/>
          <w:sz w:val="21"/>
          <w:szCs w:val="21"/>
        </w:rPr>
        <w:t>第一条 常年法律顾问服务范围</w:t>
      </w:r>
      <w:bookmarkEnd w:id="18"/>
      <w:bookmarkEnd w:id="19"/>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1.1参与甲方经营决策。就甲方的经营决策、重要经济活动提供合法性、可行性、风险预测及对策等法律方面的咨询意见，或者应甲方要求，对该事项进行法律论证，出具律师咨询意见书。  </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1.2重大事项法律事务论证：参与甲方涉及的长期投资、融资、企业改制、重组、并购等法律事务，提供咨询意见或出具书面法律意见。</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合同及规章制度管理服务。协助甲方草拟、修改、审查重要的经济合同、章程、企业规章制度和有关法律事务文书。草拟、制定、审查或修改章程、决定、声明、命令、规章制度等法律文书和其他法律文件；协助完善合同管理制度，劳动合同范本及人事管理的规章制度；审查、修改对外签订的合同等法律文件；及时发现合同履行中潜在法律风险，形成预警处理方案。</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纠纷处理。参与处理涉及甲方尚未形成诉讼的民事纠纷、经济纠纷、行政纠纷和其他重大纠纷；及时发现可能引起的诉讼，对已经被威胁诉讼的投诉、情况反映，收集相关证据，评估诉讼风险，形成处理方案；受甲方委托，参加诉讼、仲裁、行政复议和调解活动，在个案处理完毕后，总结形成案例通报，并提出改进意见。</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1.5业务磋商及现场服务。参与甲方重大经济项目的业务磋商和签约活动；应甲方要求，参加甲方重大经济项目或其他事项的现场讨论会议，提供现场法律咨询。</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协同处理突发事件危机公关。协同处理业主维权引起的突发事件和公关危机。收集证据，形成合理、合法的处理意见和应对方案。协助与事件相对方、政府主管部门、新闻媒体等进行交涉，降低、消除突发事件对公司利益的危害和对公司声誉的影响。</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公司治理及风险管理服务。应甲方要求，就甲方深化企业改革、完善法人治理结构、加强生产经营管理、提高企业经济效益等有关问题提供法律咨询意见；应甲方要求，对甲方在风险管理、法制建设等方面的问题提供建议或支持；协助甲方对现行管理制度进行补充和完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1.8其他日常法律事务。乙方负责收集轨道交通行业、投融资、上市、资产重组等相关的法律、法规、典型案例，每季度或每月以书面形式定期发送给甲方；办理甲方委托的其他法律事务。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1.9根据甲方需求，每年出具正式法律意见书（不附加出具主体等其他条件）数量在3份及以下时不再另行收费，超出3份时双方根据具体法律事务的难易程度结合市场行情另行协商。</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1.10应协同甲方处理下属企业提交集团公司决策的相关重大法律事务，出具法律意见，协助指导下属公司的法律风险防范。</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1.11办理双方商定的其他法律事务。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对于上述常年服务范围内的法律事务，费用包含在常年法律顾问费用中。</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预计一年工作量约144小时，具体工作量及难易度由乙方根据工作经验、工作内容和甲方提供的企业情况估算。如果甲方需要提供的法律服务明显高于预估工作小时的，双方以本合同项目费用标准为参考，协商调整常年法律顾问费用。甲方有权要求乙方在合同期结束后5日内根据甲方要求内容提交当年法律服务总结报告，甲方有权对乙方的履约状况进行独立评价，并作为续签合同的参考依据。</w:t>
      </w:r>
    </w:p>
    <w:p>
      <w:pPr>
        <w:pStyle w:val="19"/>
        <w:ind w:firstLine="422" w:firstLineChars="200"/>
        <w:jc w:val="both"/>
        <w:rPr>
          <w:rFonts w:hint="eastAsia" w:ascii="仿宋_GB2312" w:hAnsi="仿宋_GB2312" w:eastAsia="仿宋_GB2312" w:cs="仿宋_GB2312"/>
          <w:sz w:val="21"/>
          <w:szCs w:val="21"/>
        </w:rPr>
      </w:pPr>
      <w:bookmarkStart w:id="20" w:name="_Toc102045096"/>
      <w:r>
        <w:rPr>
          <w:rFonts w:hint="eastAsia" w:ascii="仿宋_GB2312" w:hAnsi="仿宋_GB2312" w:eastAsia="仿宋_GB2312" w:cs="仿宋_GB2312"/>
          <w:sz w:val="21"/>
          <w:szCs w:val="21"/>
        </w:rPr>
        <w:t>第二条  专项法律服务</w:t>
      </w:r>
      <w:bookmarkEnd w:id="20"/>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2.1甲方所属的各行政部门的法律事务；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2.2甲方工作人员的个人法律事务；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2.3甲方作为当事人的行政复议、行政诉讼、民事诉讼、仲裁案件的代理事务；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2.4专项法律事务服务、重大合同、重大专项服务（上述重大的范围双方另行约定）；</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2.5劳动仲裁等；</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2.6其他双方协商一致法律服务。 </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诉讼、仲裁、行政复议、劳动仲裁等案件代理则应另行办理委托手续，乙方可优先接受委托，并参照浙江省物价局、浙江省司法厅《关于制定律师服务收费标准的通知》（浙价服〔2011〕212号）低档标准的70%收费。</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对于上述专项服务范围内的法律事务，可再行委托乙方办理，并支付另行约定的费用。</w:t>
      </w:r>
      <w:bookmarkStart w:id="21" w:name="_Toc7219"/>
    </w:p>
    <w:p>
      <w:pPr>
        <w:pStyle w:val="19"/>
        <w:ind w:firstLine="422" w:firstLineChars="200"/>
        <w:jc w:val="both"/>
        <w:rPr>
          <w:rFonts w:hint="eastAsia" w:ascii="仿宋_GB2312" w:hAnsi="仿宋_GB2312" w:eastAsia="仿宋_GB2312" w:cs="仿宋_GB2312"/>
          <w:sz w:val="21"/>
          <w:szCs w:val="21"/>
        </w:rPr>
      </w:pPr>
      <w:bookmarkStart w:id="22" w:name="_Toc102045097"/>
      <w:r>
        <w:rPr>
          <w:rFonts w:hint="eastAsia" w:ascii="仿宋_GB2312" w:hAnsi="仿宋_GB2312" w:eastAsia="仿宋_GB2312" w:cs="仿宋_GB2312"/>
          <w:sz w:val="21"/>
          <w:szCs w:val="21"/>
        </w:rPr>
        <w:t>第三条 甲方的权利和义务</w:t>
      </w:r>
      <w:bookmarkEnd w:id="21"/>
      <w:bookmarkEnd w:id="22"/>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3.1甲方应当及时、准确、完整地向乙方提供其所需要的资料和文件，并保证所提交资料和文件的真实性和合法性。</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3.2甲方应当为乙方律师办理法律事务提出明确、合理的要求。</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3.3甲方应当按时、足额向乙方支付法律顾问费和工作费用。</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3.4甲方指定专人为常年法律顾问的联系人，负责转达甲方的指示和要求，提供文件和资料等，甲方更换联系人应当书面通知法律顾问。</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3.5甲方有权就乙方服务范围内的事项，随时向乙方提出口头或书面咨询，乙方应及时作出答复。</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3.6甲方应当对乙方律师的工作提供必要的办公条件及通讯设备。</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3.7由于甲方的原因而导致上述服务事项没有完成，甲方不得要求退还已经支付的律师费用。</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3.8甲方委托的事项和要求，不得违反法律规定或律师执业规范。</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3.9乙方应及时向甲方提供法律服务，一般性法律服务工作通常不应超过1个工作日给予回复，较为复杂的工作可以根据实际情况确定。在甲方合理提前通知情形下（原则上应提前2个工作日），乙方应从投标文件委派律师中至少指定一名参加甲方组织的现场或电话讨论会议。</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3.10乙方提供法律意见，原则应提供书面意见（可为邮件），应甲方要求，重大经营决策或其它重要事项应提交规范的法律咨询意见书。</w:t>
      </w:r>
      <w:bookmarkStart w:id="23" w:name="_Toc2304"/>
    </w:p>
    <w:p>
      <w:pPr>
        <w:pStyle w:val="19"/>
        <w:ind w:firstLine="422" w:firstLineChars="200"/>
        <w:jc w:val="both"/>
        <w:rPr>
          <w:rFonts w:hint="eastAsia" w:ascii="仿宋_GB2312" w:hAnsi="仿宋_GB2312" w:eastAsia="仿宋_GB2312" w:cs="仿宋_GB2312"/>
          <w:sz w:val="21"/>
          <w:szCs w:val="21"/>
        </w:rPr>
      </w:pPr>
      <w:bookmarkStart w:id="24" w:name="_Toc102045098"/>
      <w:r>
        <w:rPr>
          <w:rFonts w:hint="eastAsia" w:ascii="仿宋_GB2312" w:hAnsi="仿宋_GB2312" w:eastAsia="仿宋_GB2312" w:cs="仿宋_GB2312"/>
          <w:sz w:val="21"/>
          <w:szCs w:val="21"/>
        </w:rPr>
        <w:t>第四条 乙方的权利和义务</w:t>
      </w:r>
      <w:bookmarkEnd w:id="23"/>
      <w:bookmarkEnd w:id="24"/>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4.1乙方应当向甲方委派合格的律师提供上述法律服务。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4.2乙方律师应尽职完成本合同项下的法律事务，在法律的范围内尽最大努力维护甲方利益。</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4.3乙方有权要求甲方提供与委托事项有关的文件、资料，并有权对文件、资料进行审查和验证。</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4.4乙方律师应当在取得甲方提供的文件资料后，及时完成委托事项，并应甲方要求随时报告工作进度。</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4.5乙方在维护甲方利益的前提下，遵从法律和行业规则的要求，有权保持工作的独立性和客观性。</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4.6乙方不得有损害甲方利益或故意拖延、耽搁办理受委托事项等违反律师执业纪律和职业道德的行为。</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4.7乙方对甲方业务应当单独建档，应当保存完整的工作记录，对涉及甲方的原始证据、法律文件和财物应当妥善保管。</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4.8乙方的工作时间、地点应根据甲方的实际法律服务内容的不同，具体协商或随时联系约定。</w:t>
      </w:r>
      <w:bookmarkStart w:id="25" w:name="_Toc1105"/>
    </w:p>
    <w:p>
      <w:pPr>
        <w:pStyle w:val="19"/>
        <w:ind w:firstLine="422" w:firstLineChars="200"/>
        <w:jc w:val="both"/>
        <w:rPr>
          <w:rFonts w:hint="eastAsia" w:ascii="仿宋_GB2312" w:hAnsi="仿宋_GB2312" w:eastAsia="仿宋_GB2312" w:cs="仿宋_GB2312"/>
          <w:sz w:val="21"/>
          <w:szCs w:val="21"/>
        </w:rPr>
      </w:pPr>
      <w:bookmarkStart w:id="26" w:name="_Toc102045099"/>
      <w:r>
        <w:rPr>
          <w:rFonts w:hint="eastAsia" w:ascii="仿宋_GB2312" w:hAnsi="仿宋_GB2312" w:eastAsia="仿宋_GB2312" w:cs="仿宋_GB2312"/>
          <w:sz w:val="21"/>
          <w:szCs w:val="21"/>
        </w:rPr>
        <w:t>第五条 法律顾问费用</w:t>
      </w:r>
      <w:bookmarkEnd w:id="25"/>
      <w:bookmarkEnd w:id="26"/>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5.1法律顾问费每年为人民币（大写）    元(¥     元)(含税)。下列与常年法律顾问服务有关的间接费用开支由甲方负担，且未包含在本采购项目年法律顾问费中，该等费用由乙方律师凭正规发票向甲方按实报销：包括但不限于委托审计费、鉴定费、公证费、查档费，其它用于收集资料的费用。</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5.2 甲方应按下述约定向乙方支付年度法律顾问费：</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签订常年法律顾问合同并收到乙方开具的正式增值税发票后十个工作日内支付当年度法律顾问服务费的50%，当年度剩余法律顾问服务费在当年度服务期限届满之日根据甲方考核情况结算支付。</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合同期内，常年法律顾问为甲方办理本采购文件服务内容及相关要求范围内的一般法律事务时不再收费。</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5.3 乙方银行账号</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乙方户名 ： </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开户银行： </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帐号： </w:t>
      </w:r>
      <w:bookmarkStart w:id="27" w:name="_Toc4900"/>
    </w:p>
    <w:p>
      <w:pPr>
        <w:pStyle w:val="19"/>
        <w:ind w:firstLine="422" w:firstLineChars="200"/>
        <w:jc w:val="both"/>
        <w:rPr>
          <w:rFonts w:hint="eastAsia" w:ascii="仿宋_GB2312" w:hAnsi="仿宋_GB2312" w:eastAsia="仿宋_GB2312" w:cs="仿宋_GB2312"/>
          <w:sz w:val="21"/>
          <w:szCs w:val="21"/>
        </w:rPr>
      </w:pPr>
      <w:bookmarkStart w:id="28" w:name="_Toc102045100"/>
      <w:r>
        <w:rPr>
          <w:rFonts w:hint="eastAsia" w:ascii="仿宋_GB2312" w:hAnsi="仿宋_GB2312" w:eastAsia="仿宋_GB2312" w:cs="仿宋_GB2312"/>
          <w:sz w:val="21"/>
          <w:szCs w:val="21"/>
        </w:rPr>
        <w:t>第六条 其他费用的负担</w:t>
      </w:r>
      <w:bookmarkEnd w:id="27"/>
      <w:bookmarkEnd w:id="28"/>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乙方律师办理甲方委托专项法律服务事项所发生的下列费用，应由甲方承担：</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6.1直接费用：包括但不限于异地交通、住宿、通讯、传真、复印等费用。</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6.2征得甲方同意后支出的其他费用。</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6.3上列费用由乙方律师向甲方按实报销。</w:t>
      </w:r>
      <w:bookmarkStart w:id="29" w:name="_Toc21130"/>
    </w:p>
    <w:p>
      <w:pPr>
        <w:pStyle w:val="19"/>
        <w:ind w:firstLine="422" w:firstLineChars="200"/>
        <w:jc w:val="both"/>
        <w:rPr>
          <w:rFonts w:hint="eastAsia" w:ascii="仿宋_GB2312" w:hAnsi="仿宋_GB2312" w:eastAsia="仿宋_GB2312" w:cs="仿宋_GB2312"/>
          <w:sz w:val="21"/>
          <w:szCs w:val="21"/>
        </w:rPr>
      </w:pPr>
      <w:bookmarkStart w:id="30" w:name="_Toc102045101"/>
      <w:r>
        <w:rPr>
          <w:rFonts w:hint="eastAsia" w:ascii="仿宋_GB2312" w:hAnsi="仿宋_GB2312" w:eastAsia="仿宋_GB2312" w:cs="仿宋_GB2312"/>
          <w:sz w:val="21"/>
          <w:szCs w:val="21"/>
        </w:rPr>
        <w:t>第七条 乙方工作保证</w:t>
      </w:r>
      <w:bookmarkEnd w:id="29"/>
      <w:bookmarkEnd w:id="30"/>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7.1 乙方全面参与甲方公司的日常运作，深入参与甲方的各类必要的会议，全面负责甲方公司的相关法务工作，乙方及其律师必须遵守职业道德和执业纪律；</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7.2 乙方及其律师应当勤勉尽责，依法维护甲方利益；</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7.3 乙方应确保所有提交文件的合法性、合规性；</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7.4 乙方在提供法律服务期间，应保持与甲方的良好沟通和联系。乙方及其律师变更联系方式的，应当及时通知甲方；</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7.5 乙方及其律师不得超越甲方授权行事。</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7.6服务人员。乙方项目组成员1名每周1天到甲方开展服务工作。</w:t>
      </w:r>
    </w:p>
    <w:tbl>
      <w:tblPr>
        <w:tblStyle w:val="26"/>
        <w:tblpPr w:leftFromText="180" w:rightFromText="180" w:vertAnchor="text" w:horzAnchor="margin" w:tblpY="294"/>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103"/>
        <w:gridCol w:w="1400"/>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854" w:type="dxa"/>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序号</w:t>
            </w:r>
          </w:p>
        </w:tc>
        <w:tc>
          <w:tcPr>
            <w:tcW w:w="2103" w:type="dxa"/>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姓名</w:t>
            </w:r>
          </w:p>
        </w:tc>
        <w:tc>
          <w:tcPr>
            <w:tcW w:w="1400" w:type="dxa"/>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性别</w:t>
            </w:r>
          </w:p>
        </w:tc>
        <w:tc>
          <w:tcPr>
            <w:tcW w:w="4162" w:type="dxa"/>
            <w:vAlign w:val="center"/>
          </w:tcPr>
          <w:p>
            <w:pPr>
              <w:spacing w:line="360" w:lineRule="auto"/>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项目职责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54" w:type="dxa"/>
            <w:vAlign w:val="center"/>
          </w:tcPr>
          <w:p>
            <w:pPr>
              <w:spacing w:line="50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2103" w:type="dxa"/>
            <w:vAlign w:val="center"/>
          </w:tcPr>
          <w:p>
            <w:pPr>
              <w:spacing w:line="500" w:lineRule="exact"/>
              <w:jc w:val="center"/>
              <w:rPr>
                <w:rFonts w:hint="eastAsia" w:ascii="仿宋_GB2312" w:hAnsi="仿宋_GB2312" w:eastAsia="仿宋_GB2312" w:cs="仿宋_GB2312"/>
                <w:kern w:val="0"/>
                <w:sz w:val="21"/>
                <w:szCs w:val="21"/>
              </w:rPr>
            </w:pPr>
          </w:p>
        </w:tc>
        <w:tc>
          <w:tcPr>
            <w:tcW w:w="1400" w:type="dxa"/>
            <w:vAlign w:val="center"/>
          </w:tcPr>
          <w:p>
            <w:pPr>
              <w:spacing w:line="500" w:lineRule="exact"/>
              <w:jc w:val="center"/>
              <w:rPr>
                <w:rFonts w:hint="eastAsia" w:ascii="仿宋_GB2312" w:hAnsi="仿宋_GB2312" w:eastAsia="仿宋_GB2312" w:cs="仿宋_GB2312"/>
                <w:kern w:val="0"/>
                <w:sz w:val="21"/>
                <w:szCs w:val="21"/>
              </w:rPr>
            </w:pPr>
          </w:p>
        </w:tc>
        <w:tc>
          <w:tcPr>
            <w:tcW w:w="4162" w:type="dxa"/>
            <w:vAlign w:val="center"/>
          </w:tcPr>
          <w:p>
            <w:pPr>
              <w:spacing w:line="500" w:lineRule="exact"/>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54" w:type="dxa"/>
            <w:vAlign w:val="center"/>
          </w:tcPr>
          <w:p>
            <w:pPr>
              <w:spacing w:line="50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2103" w:type="dxa"/>
            <w:vAlign w:val="center"/>
          </w:tcPr>
          <w:p>
            <w:pPr>
              <w:spacing w:line="500" w:lineRule="exact"/>
              <w:jc w:val="center"/>
              <w:rPr>
                <w:rFonts w:hint="eastAsia" w:ascii="仿宋_GB2312" w:hAnsi="仿宋_GB2312" w:eastAsia="仿宋_GB2312" w:cs="仿宋_GB2312"/>
                <w:kern w:val="0"/>
                <w:sz w:val="21"/>
                <w:szCs w:val="21"/>
              </w:rPr>
            </w:pPr>
          </w:p>
        </w:tc>
        <w:tc>
          <w:tcPr>
            <w:tcW w:w="1400" w:type="dxa"/>
            <w:vAlign w:val="center"/>
          </w:tcPr>
          <w:p>
            <w:pPr>
              <w:spacing w:line="500" w:lineRule="exact"/>
              <w:jc w:val="center"/>
              <w:rPr>
                <w:rFonts w:hint="eastAsia" w:ascii="仿宋_GB2312" w:hAnsi="仿宋_GB2312" w:eastAsia="仿宋_GB2312" w:cs="仿宋_GB2312"/>
                <w:kern w:val="0"/>
                <w:sz w:val="21"/>
                <w:szCs w:val="21"/>
              </w:rPr>
            </w:pPr>
          </w:p>
        </w:tc>
        <w:tc>
          <w:tcPr>
            <w:tcW w:w="4162" w:type="dxa"/>
            <w:vAlign w:val="center"/>
          </w:tcPr>
          <w:p>
            <w:pPr>
              <w:spacing w:line="500" w:lineRule="exact"/>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54" w:type="dxa"/>
            <w:vAlign w:val="center"/>
          </w:tcPr>
          <w:p>
            <w:pPr>
              <w:spacing w:line="50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2103" w:type="dxa"/>
            <w:vAlign w:val="center"/>
          </w:tcPr>
          <w:p>
            <w:pPr>
              <w:spacing w:line="500" w:lineRule="exact"/>
              <w:jc w:val="center"/>
              <w:rPr>
                <w:rFonts w:hint="eastAsia" w:ascii="仿宋_GB2312" w:hAnsi="仿宋_GB2312" w:eastAsia="仿宋_GB2312" w:cs="仿宋_GB2312"/>
                <w:kern w:val="0"/>
                <w:sz w:val="21"/>
                <w:szCs w:val="21"/>
              </w:rPr>
            </w:pPr>
          </w:p>
        </w:tc>
        <w:tc>
          <w:tcPr>
            <w:tcW w:w="1400" w:type="dxa"/>
            <w:vAlign w:val="center"/>
          </w:tcPr>
          <w:p>
            <w:pPr>
              <w:spacing w:line="500" w:lineRule="exact"/>
              <w:jc w:val="center"/>
              <w:rPr>
                <w:rFonts w:hint="eastAsia" w:ascii="仿宋_GB2312" w:hAnsi="仿宋_GB2312" w:eastAsia="仿宋_GB2312" w:cs="仿宋_GB2312"/>
                <w:kern w:val="0"/>
                <w:sz w:val="21"/>
                <w:szCs w:val="21"/>
              </w:rPr>
            </w:pPr>
          </w:p>
        </w:tc>
        <w:tc>
          <w:tcPr>
            <w:tcW w:w="4162" w:type="dxa"/>
            <w:vAlign w:val="center"/>
          </w:tcPr>
          <w:p>
            <w:pPr>
              <w:spacing w:line="500" w:lineRule="exact"/>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54" w:type="dxa"/>
            <w:vAlign w:val="center"/>
          </w:tcPr>
          <w:p>
            <w:pPr>
              <w:spacing w:line="50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p>
        </w:tc>
        <w:tc>
          <w:tcPr>
            <w:tcW w:w="2103" w:type="dxa"/>
            <w:vAlign w:val="center"/>
          </w:tcPr>
          <w:p>
            <w:pPr>
              <w:spacing w:line="500" w:lineRule="exact"/>
              <w:jc w:val="center"/>
              <w:rPr>
                <w:rFonts w:hint="eastAsia" w:ascii="仿宋_GB2312" w:hAnsi="仿宋_GB2312" w:eastAsia="仿宋_GB2312" w:cs="仿宋_GB2312"/>
                <w:kern w:val="0"/>
                <w:sz w:val="21"/>
                <w:szCs w:val="21"/>
              </w:rPr>
            </w:pPr>
          </w:p>
        </w:tc>
        <w:tc>
          <w:tcPr>
            <w:tcW w:w="1400" w:type="dxa"/>
            <w:vAlign w:val="center"/>
          </w:tcPr>
          <w:p>
            <w:pPr>
              <w:spacing w:line="500" w:lineRule="exact"/>
              <w:jc w:val="center"/>
              <w:rPr>
                <w:rFonts w:hint="eastAsia" w:ascii="仿宋_GB2312" w:hAnsi="仿宋_GB2312" w:eastAsia="仿宋_GB2312" w:cs="仿宋_GB2312"/>
                <w:kern w:val="0"/>
                <w:sz w:val="21"/>
                <w:szCs w:val="21"/>
              </w:rPr>
            </w:pPr>
          </w:p>
        </w:tc>
        <w:tc>
          <w:tcPr>
            <w:tcW w:w="4162" w:type="dxa"/>
            <w:vAlign w:val="center"/>
          </w:tcPr>
          <w:p>
            <w:pPr>
              <w:spacing w:line="500" w:lineRule="exact"/>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54" w:type="dxa"/>
            <w:vAlign w:val="center"/>
          </w:tcPr>
          <w:p>
            <w:pPr>
              <w:spacing w:line="50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p>
        </w:tc>
        <w:tc>
          <w:tcPr>
            <w:tcW w:w="2103" w:type="dxa"/>
            <w:vAlign w:val="center"/>
          </w:tcPr>
          <w:p>
            <w:pPr>
              <w:spacing w:line="500" w:lineRule="exact"/>
              <w:jc w:val="center"/>
              <w:rPr>
                <w:rFonts w:hint="eastAsia" w:ascii="仿宋_GB2312" w:hAnsi="仿宋_GB2312" w:eastAsia="仿宋_GB2312" w:cs="仿宋_GB2312"/>
                <w:kern w:val="0"/>
                <w:sz w:val="21"/>
                <w:szCs w:val="21"/>
              </w:rPr>
            </w:pPr>
          </w:p>
        </w:tc>
        <w:tc>
          <w:tcPr>
            <w:tcW w:w="1400" w:type="dxa"/>
            <w:vAlign w:val="center"/>
          </w:tcPr>
          <w:p>
            <w:pPr>
              <w:spacing w:line="500" w:lineRule="exact"/>
              <w:jc w:val="center"/>
              <w:rPr>
                <w:rFonts w:hint="eastAsia" w:ascii="仿宋_GB2312" w:hAnsi="仿宋_GB2312" w:eastAsia="仿宋_GB2312" w:cs="仿宋_GB2312"/>
                <w:kern w:val="0"/>
                <w:sz w:val="21"/>
                <w:szCs w:val="21"/>
              </w:rPr>
            </w:pPr>
          </w:p>
        </w:tc>
        <w:tc>
          <w:tcPr>
            <w:tcW w:w="4162" w:type="dxa"/>
            <w:vAlign w:val="center"/>
          </w:tcPr>
          <w:p>
            <w:pPr>
              <w:spacing w:line="500" w:lineRule="exact"/>
              <w:jc w:val="center"/>
              <w:rPr>
                <w:rFonts w:hint="eastAsia" w:ascii="仿宋_GB2312" w:hAnsi="仿宋_GB2312" w:eastAsia="仿宋_GB2312" w:cs="仿宋_GB2312"/>
                <w:kern w:val="0"/>
                <w:sz w:val="21"/>
                <w:szCs w:val="21"/>
              </w:rPr>
            </w:pPr>
          </w:p>
        </w:tc>
      </w:tr>
    </w:tbl>
    <w:p>
      <w:pPr>
        <w:pStyle w:val="19"/>
        <w:jc w:val="both"/>
        <w:rPr>
          <w:rFonts w:hint="eastAsia" w:ascii="仿宋_GB2312" w:hAnsi="仿宋_GB2312" w:eastAsia="仿宋_GB2312" w:cs="仿宋_GB2312"/>
          <w:sz w:val="21"/>
          <w:szCs w:val="21"/>
        </w:rPr>
      </w:pPr>
      <w:bookmarkStart w:id="31" w:name="_Toc102045102"/>
      <w:bookmarkStart w:id="32" w:name="_Toc17963"/>
      <w:r>
        <w:rPr>
          <w:rFonts w:hint="eastAsia" w:ascii="仿宋_GB2312" w:hAnsi="仿宋_GB2312" w:eastAsia="仿宋_GB2312" w:cs="仿宋_GB2312"/>
          <w:sz w:val="21"/>
          <w:szCs w:val="21"/>
        </w:rPr>
        <w:t>第八条 甲方的支持</w:t>
      </w:r>
      <w:bookmarkEnd w:id="31"/>
      <w:bookmarkEnd w:id="32"/>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8.1 甲方应如实提供与本合同服务事项有关的资料并说明有关情况；如服务事项有关情况和事实发生变化，应及时告知乙方及其律师；</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8.2 甲方应指定专人负责与乙方联系，协调各部门向乙方发出的工作指令；如变更联系信息，应当及时通知乙方及其律师；</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8.3 甲方应提前合理的时间向乙方发出明确的工作指令；</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8.4 甲方不应向乙方及其律师提出与法律以及律师职业道德和执业纪律的规定相冲突的服务要求；</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8.5 甲方不应与乙方律师另行签订任何服务合同，不应私自聘用乙方律师。</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8.6 甲方应及时反馈意见，对乙方律师提供的服务进行考核与评价。</w:t>
      </w:r>
      <w:bookmarkStart w:id="33" w:name="_Toc13690"/>
    </w:p>
    <w:p>
      <w:pPr>
        <w:pStyle w:val="19"/>
        <w:ind w:firstLine="422" w:firstLineChars="200"/>
        <w:jc w:val="both"/>
        <w:rPr>
          <w:rFonts w:hint="eastAsia" w:ascii="仿宋_GB2312" w:hAnsi="仿宋_GB2312" w:eastAsia="仿宋_GB2312" w:cs="仿宋_GB2312"/>
          <w:sz w:val="21"/>
          <w:szCs w:val="21"/>
        </w:rPr>
      </w:pPr>
      <w:bookmarkStart w:id="34" w:name="_Toc102045103"/>
      <w:r>
        <w:rPr>
          <w:rFonts w:hint="eastAsia" w:ascii="仿宋_GB2312" w:hAnsi="仿宋_GB2312" w:eastAsia="仿宋_GB2312" w:cs="仿宋_GB2312"/>
          <w:sz w:val="21"/>
          <w:szCs w:val="21"/>
        </w:rPr>
        <w:t>第九条 知识产权</w:t>
      </w:r>
      <w:bookmarkEnd w:id="33"/>
      <w:bookmarkEnd w:id="34"/>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9.1 甲、乙双方均应保护对方的知识产权。未经对方同意，任何一方均不得擅自修改、复制或向第三人转让因履行本合同而自对方取得的资料及文件（包括合同、协议及其他文件）或将其用于本合同以外的目的。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9.2 乙方及其律师在任何出版物（含各类内部资料和内部出版物）出版或发表任何与甲方经营管理活动相关的文章或在公开场合发表相关言论时，应事先征得甲方同意。</w:t>
      </w:r>
      <w:bookmarkStart w:id="35" w:name="_Toc10724"/>
    </w:p>
    <w:p>
      <w:pPr>
        <w:pStyle w:val="19"/>
        <w:ind w:firstLine="422" w:firstLineChars="200"/>
        <w:jc w:val="both"/>
        <w:rPr>
          <w:rFonts w:hint="eastAsia" w:ascii="仿宋_GB2312" w:hAnsi="仿宋_GB2312" w:eastAsia="仿宋_GB2312" w:cs="仿宋_GB2312"/>
          <w:sz w:val="21"/>
          <w:szCs w:val="21"/>
        </w:rPr>
      </w:pPr>
      <w:bookmarkStart w:id="36" w:name="_Toc102045104"/>
      <w:r>
        <w:rPr>
          <w:rFonts w:hint="eastAsia" w:ascii="仿宋_GB2312" w:hAnsi="仿宋_GB2312" w:eastAsia="仿宋_GB2312" w:cs="仿宋_GB2312"/>
          <w:sz w:val="21"/>
          <w:szCs w:val="21"/>
        </w:rPr>
        <w:t>第十条 合同的解除及违约责任</w:t>
      </w:r>
      <w:bookmarkEnd w:id="35"/>
      <w:bookmarkEnd w:id="36"/>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10.1乙方有下列情形之一的，甲方有权解除本合同：</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10.1.1无正当理由，擅自更换作为甲方常年法律顾问的律师的；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10.1.2因乙方律师工作延误、失职、失误导致甲方蒙受重大损失或对甲方造成重大负面影响的；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10.1.3乙方律师不按本合同的约定提供法律服务，经甲方指出后，仍拒不改正的。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因上列情形而解除合同的，乙方全额退还当年度常年法律顾问费。</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10.2甲方有下列情形之一的，乙方有权解除本合同：</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10.2.1甲方的委托事项违反法律或者违反律师执业规范的，法律顾问向甲方提示后，甲方坚持要求法律顾问办理的。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10.2.2甲方有意向乙方提供虚假情况、捏造事实，致使乙方律师不能提供有效的法律服务的；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10.2.3甲方逾期30日仍不向乙方支付法律顾问费或者工作费用的。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因上列情形而解除时，乙方己收取的当年度法律顾问费不予退还，甲方如有欠费应予补足约定数额。</w:t>
      </w:r>
      <w:bookmarkStart w:id="37" w:name="_Toc25302"/>
    </w:p>
    <w:p>
      <w:pPr>
        <w:pStyle w:val="19"/>
        <w:ind w:firstLine="422" w:firstLineChars="200"/>
        <w:jc w:val="both"/>
        <w:rPr>
          <w:rFonts w:hint="eastAsia" w:ascii="仿宋_GB2312" w:hAnsi="仿宋_GB2312" w:eastAsia="仿宋_GB2312" w:cs="仿宋_GB2312"/>
          <w:sz w:val="21"/>
          <w:szCs w:val="21"/>
        </w:rPr>
      </w:pPr>
      <w:bookmarkStart w:id="38" w:name="_Toc102045105"/>
      <w:r>
        <w:rPr>
          <w:rFonts w:hint="eastAsia" w:ascii="仿宋_GB2312" w:hAnsi="仿宋_GB2312" w:eastAsia="仿宋_GB2312" w:cs="仿宋_GB2312"/>
          <w:sz w:val="21"/>
          <w:szCs w:val="21"/>
        </w:rPr>
        <w:t>第十一条 合同的终止</w:t>
      </w:r>
      <w:bookmarkEnd w:id="37"/>
      <w:bookmarkEnd w:id="38"/>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11.1本合同期限届满，一方明确表示不再续签合同的；</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11.2甲乙双方通过书面协议解除本合同</w:t>
      </w:r>
      <w:bookmarkStart w:id="39" w:name="_Toc7649"/>
      <w:r>
        <w:rPr>
          <w:rFonts w:hint="eastAsia" w:ascii="仿宋_GB2312" w:hAnsi="仿宋_GB2312" w:eastAsia="仿宋_GB2312" w:cs="仿宋_GB2312"/>
          <w:kern w:val="0"/>
          <w:sz w:val="21"/>
          <w:szCs w:val="21"/>
        </w:rPr>
        <w:t>。</w:t>
      </w:r>
    </w:p>
    <w:p>
      <w:pPr>
        <w:pStyle w:val="19"/>
        <w:ind w:firstLine="422" w:firstLineChars="200"/>
        <w:jc w:val="both"/>
        <w:rPr>
          <w:rFonts w:hint="eastAsia" w:ascii="仿宋_GB2312" w:hAnsi="仿宋_GB2312" w:eastAsia="仿宋_GB2312" w:cs="仿宋_GB2312"/>
          <w:sz w:val="21"/>
          <w:szCs w:val="21"/>
        </w:rPr>
      </w:pPr>
      <w:bookmarkStart w:id="40" w:name="_Toc102045106"/>
      <w:r>
        <w:rPr>
          <w:rFonts w:hint="eastAsia" w:ascii="仿宋_GB2312" w:hAnsi="仿宋_GB2312" w:eastAsia="仿宋_GB2312" w:cs="仿宋_GB2312"/>
          <w:sz w:val="21"/>
          <w:szCs w:val="21"/>
        </w:rPr>
        <w:t>第十二条 合同期限</w:t>
      </w:r>
      <w:bookmarkEnd w:id="39"/>
      <w:bookmarkEnd w:id="40"/>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12.1 双方商定乙方为甲方提供法律顾问服务的期限为</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年，自</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日起至</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rPr>
        <w:t>日止。根据需方相关文件，到期重新选聘。</w:t>
      </w:r>
    </w:p>
    <w:p>
      <w:pPr>
        <w:pStyle w:val="19"/>
        <w:ind w:firstLine="422" w:firstLineChars="200"/>
        <w:jc w:val="both"/>
        <w:rPr>
          <w:rFonts w:hint="eastAsia" w:ascii="仿宋_GB2312" w:hAnsi="仿宋_GB2312" w:eastAsia="仿宋_GB2312" w:cs="仿宋_GB2312"/>
          <w:sz w:val="21"/>
          <w:szCs w:val="21"/>
        </w:rPr>
      </w:pPr>
      <w:bookmarkStart w:id="41" w:name="_Toc459"/>
      <w:bookmarkStart w:id="42" w:name="_Toc102045107"/>
      <w:r>
        <w:rPr>
          <w:rFonts w:hint="eastAsia" w:ascii="仿宋_GB2312" w:hAnsi="仿宋_GB2312" w:eastAsia="仿宋_GB2312" w:cs="仿宋_GB2312"/>
          <w:sz w:val="21"/>
          <w:szCs w:val="21"/>
        </w:rPr>
        <w:t>第十三条 保密</w:t>
      </w:r>
      <w:bookmarkEnd w:id="41"/>
      <w:bookmarkEnd w:id="42"/>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13.1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13.2 甲方有特殊保密要求的，应当另行签订保密协议，以保密协议的约定为准。</w:t>
      </w:r>
      <w:bookmarkStart w:id="43" w:name="_Toc30045"/>
    </w:p>
    <w:p>
      <w:pPr>
        <w:pStyle w:val="19"/>
        <w:ind w:firstLine="422" w:firstLineChars="200"/>
        <w:jc w:val="both"/>
        <w:rPr>
          <w:rFonts w:hint="eastAsia" w:ascii="仿宋_GB2312" w:hAnsi="仿宋_GB2312" w:eastAsia="仿宋_GB2312" w:cs="仿宋_GB2312"/>
          <w:sz w:val="21"/>
          <w:szCs w:val="21"/>
        </w:rPr>
      </w:pPr>
      <w:bookmarkStart w:id="44" w:name="_Toc102045108"/>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Hans"/>
        </w:rPr>
        <w:t>四</w:t>
      </w:r>
      <w:r>
        <w:rPr>
          <w:rFonts w:hint="eastAsia" w:ascii="仿宋_GB2312" w:hAnsi="仿宋_GB2312" w:eastAsia="仿宋_GB2312" w:cs="仿宋_GB2312"/>
          <w:sz w:val="21"/>
          <w:szCs w:val="21"/>
        </w:rPr>
        <w:t xml:space="preserve">条 </w:t>
      </w:r>
      <w:r>
        <w:rPr>
          <w:rFonts w:hint="eastAsia" w:ascii="仿宋_GB2312" w:hAnsi="仿宋_GB2312" w:eastAsia="仿宋_GB2312" w:cs="仿宋_GB2312"/>
          <w:sz w:val="21"/>
          <w:szCs w:val="21"/>
          <w:lang w:eastAsia="zh-Hans"/>
        </w:rPr>
        <w:t>通知</w:t>
      </w:r>
      <w:bookmarkEnd w:id="44"/>
    </w:p>
    <w:p>
      <w:pPr>
        <w:widowControl/>
        <w:spacing w:line="560" w:lineRule="exact"/>
        <w:ind w:firstLine="420" w:firstLineChars="20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rPr>
        <w:t xml:space="preserve">14.1 </w:t>
      </w:r>
      <w:r>
        <w:rPr>
          <w:rFonts w:hint="eastAsia" w:ascii="仿宋_GB2312" w:hAnsi="仿宋_GB2312" w:eastAsia="仿宋_GB2312" w:cs="仿宋_GB2312"/>
          <w:kern w:val="0"/>
          <w:sz w:val="21"/>
          <w:szCs w:val="21"/>
          <w:lang w:eastAsia="zh-Hans"/>
        </w:rPr>
        <w:t>根据本合同需要，一方向另一方发出通知，应以书面形式为准，电话、电子邮件发送的通知能够查证的，亦视为有效。</w:t>
      </w:r>
    </w:p>
    <w:p>
      <w:pPr>
        <w:widowControl/>
        <w:spacing w:line="560" w:lineRule="exact"/>
        <w:ind w:firstLine="420" w:firstLineChars="20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14.2 顾问服务中顾问律师向甲方出具的文件应当以书面形式送达给甲方。经甲方同意可以电子邮件形式向甲方送达电子版文件。</w:t>
      </w:r>
    </w:p>
    <w:p>
      <w:pPr>
        <w:widowControl/>
        <w:spacing w:line="560" w:lineRule="exact"/>
        <w:ind w:firstLine="420" w:firstLineChars="200"/>
        <w:rPr>
          <w:rFonts w:hint="eastAsia" w:ascii="仿宋_GB2312" w:hAnsi="仿宋_GB2312" w:eastAsia="仿宋_GB2312" w:cs="仿宋_GB2312"/>
          <w:kern w:val="0"/>
          <w:sz w:val="21"/>
          <w:szCs w:val="21"/>
          <w:lang w:eastAsia="zh-Hans"/>
        </w:rPr>
      </w:pPr>
      <w:r>
        <w:rPr>
          <w:rFonts w:hint="eastAsia" w:ascii="仿宋_GB2312" w:hAnsi="仿宋_GB2312" w:eastAsia="仿宋_GB2312" w:cs="仿宋_GB2312"/>
          <w:kern w:val="0"/>
          <w:sz w:val="21"/>
          <w:szCs w:val="21"/>
          <w:lang w:eastAsia="zh-Hans"/>
        </w:rPr>
        <w:t>14.3 各方接受通知和文件的地址如下：</w:t>
      </w:r>
    </w:p>
    <w:p>
      <w:pPr>
        <w:widowControl/>
        <w:spacing w:line="560" w:lineRule="exact"/>
        <w:ind w:firstLine="420" w:firstLineChars="200"/>
        <w:rPr>
          <w:rFonts w:hint="eastAsia" w:ascii="仿宋_GB2312" w:hAnsi="仿宋_GB2312" w:eastAsia="仿宋_GB2312" w:cs="仿宋_GB2312"/>
          <w:kern w:val="0"/>
          <w:sz w:val="21"/>
          <w:szCs w:val="21"/>
          <w:u w:val="single"/>
        </w:rPr>
      </w:pPr>
      <w:r>
        <w:rPr>
          <w:rFonts w:hint="eastAsia" w:ascii="仿宋_GB2312" w:hAnsi="仿宋_GB2312" w:eastAsia="仿宋_GB2312" w:cs="仿宋_GB2312"/>
          <w:kern w:val="0"/>
          <w:sz w:val="21"/>
          <w:szCs w:val="21"/>
          <w:lang w:eastAsia="zh-Hans"/>
        </w:rPr>
        <w:t>甲方：</w:t>
      </w:r>
      <w:r>
        <w:rPr>
          <w:rFonts w:hint="eastAsia" w:ascii="仿宋_GB2312" w:hAnsi="仿宋_GB2312" w:eastAsia="仿宋_GB2312" w:cs="仿宋_GB2312"/>
          <w:kern w:val="0"/>
          <w:sz w:val="21"/>
          <w:szCs w:val="21"/>
          <w:u w:val="single"/>
        </w:rPr>
        <w:t xml:space="preserve">                         </w:t>
      </w:r>
    </w:p>
    <w:p>
      <w:pPr>
        <w:widowControl/>
        <w:spacing w:line="560" w:lineRule="exact"/>
        <w:ind w:firstLine="420" w:firstLineChars="200"/>
        <w:rPr>
          <w:rFonts w:hint="eastAsia" w:ascii="仿宋_GB2312" w:hAnsi="仿宋_GB2312" w:eastAsia="仿宋_GB2312" w:cs="仿宋_GB2312"/>
          <w:kern w:val="0"/>
          <w:sz w:val="21"/>
          <w:szCs w:val="21"/>
          <w:u w:val="single"/>
          <w:lang w:eastAsia="zh-Hans"/>
        </w:rPr>
      </w:pPr>
      <w:r>
        <w:rPr>
          <w:rFonts w:hint="eastAsia" w:ascii="仿宋_GB2312" w:hAnsi="仿宋_GB2312" w:eastAsia="仿宋_GB2312" w:cs="仿宋_GB2312"/>
          <w:kern w:val="0"/>
          <w:sz w:val="21"/>
          <w:szCs w:val="21"/>
          <w:lang w:eastAsia="zh-Hans"/>
        </w:rPr>
        <w:t>乙方：</w:t>
      </w:r>
      <w:r>
        <w:rPr>
          <w:rFonts w:hint="eastAsia" w:ascii="仿宋_GB2312" w:hAnsi="仿宋_GB2312" w:eastAsia="仿宋_GB2312" w:cs="仿宋_GB2312"/>
          <w:kern w:val="0"/>
          <w:sz w:val="21"/>
          <w:szCs w:val="21"/>
          <w:u w:val="single"/>
        </w:rPr>
        <w:t xml:space="preserve">                        </w:t>
      </w:r>
      <w:r>
        <w:rPr>
          <w:rFonts w:hint="eastAsia" w:ascii="仿宋_GB2312" w:hAnsi="仿宋_GB2312" w:eastAsia="仿宋_GB2312" w:cs="仿宋_GB2312"/>
          <w:kern w:val="0"/>
          <w:sz w:val="21"/>
          <w:szCs w:val="21"/>
          <w:u w:val="single"/>
          <w:lang w:eastAsia="zh-Hans"/>
        </w:rPr>
        <w:t xml:space="preserve"> </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Hans"/>
        </w:rPr>
        <w:t>14.4 一方变更接受通知和文件的负责人或地址，应自变更之日起7日内正式通知对方，否则由未通知方承担由此而引起的相关责任。</w:t>
      </w:r>
    </w:p>
    <w:p>
      <w:pPr>
        <w:pStyle w:val="19"/>
        <w:ind w:firstLine="422" w:firstLineChars="200"/>
        <w:jc w:val="both"/>
        <w:rPr>
          <w:rFonts w:hint="eastAsia" w:ascii="仿宋_GB2312" w:hAnsi="仿宋_GB2312" w:eastAsia="仿宋_GB2312" w:cs="仿宋_GB2312"/>
          <w:sz w:val="21"/>
          <w:szCs w:val="21"/>
        </w:rPr>
      </w:pPr>
      <w:bookmarkStart w:id="45" w:name="_Toc102045109"/>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Hans"/>
        </w:rPr>
        <w:t>五</w:t>
      </w:r>
      <w:r>
        <w:rPr>
          <w:rFonts w:hint="eastAsia" w:ascii="仿宋_GB2312" w:hAnsi="仿宋_GB2312" w:eastAsia="仿宋_GB2312" w:cs="仿宋_GB2312"/>
          <w:sz w:val="21"/>
          <w:szCs w:val="21"/>
        </w:rPr>
        <w:t>条 合同的变更</w:t>
      </w:r>
      <w:bookmarkEnd w:id="43"/>
      <w:bookmarkEnd w:id="45"/>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合同履行期间，发生特殊情况时，甲、乙任何一方要求变更或补充本合同的，要求变更或补充一方应及时书面通知对方。经双方协商一致，签订书面变更或补充协议，该协议将成为本合同的组成部分。未经双方签署书面文件，任何一方无权变更本合同。</w:t>
      </w:r>
      <w:bookmarkStart w:id="46" w:name="_Toc28376"/>
    </w:p>
    <w:p>
      <w:pPr>
        <w:pStyle w:val="19"/>
        <w:ind w:firstLine="422" w:firstLineChars="200"/>
        <w:jc w:val="both"/>
        <w:rPr>
          <w:rFonts w:hint="eastAsia" w:ascii="仿宋_GB2312" w:hAnsi="仿宋_GB2312" w:eastAsia="仿宋_GB2312" w:cs="仿宋_GB2312"/>
          <w:sz w:val="21"/>
          <w:szCs w:val="21"/>
        </w:rPr>
      </w:pPr>
      <w:bookmarkStart w:id="47" w:name="_Toc102045110"/>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Hans"/>
        </w:rPr>
        <w:t>六</w:t>
      </w:r>
      <w:r>
        <w:rPr>
          <w:rFonts w:hint="eastAsia" w:ascii="仿宋_GB2312" w:hAnsi="仿宋_GB2312" w:eastAsia="仿宋_GB2312" w:cs="仿宋_GB2312"/>
          <w:sz w:val="21"/>
          <w:szCs w:val="21"/>
        </w:rPr>
        <w:t>条 合同的</w:t>
      </w:r>
      <w:r>
        <w:rPr>
          <w:rFonts w:hint="eastAsia" w:ascii="仿宋_GB2312" w:hAnsi="仿宋_GB2312" w:eastAsia="仿宋_GB2312" w:cs="仿宋_GB2312"/>
          <w:sz w:val="21"/>
          <w:szCs w:val="21"/>
          <w:lang w:eastAsia="zh-Hans"/>
        </w:rPr>
        <w:t>解释</w:t>
      </w:r>
      <w:bookmarkEnd w:id="47"/>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本合同</w:t>
      </w:r>
      <w:r>
        <w:rPr>
          <w:rFonts w:hint="eastAsia" w:ascii="仿宋_GB2312" w:hAnsi="仿宋_GB2312" w:eastAsia="仿宋_GB2312" w:cs="仿宋_GB2312"/>
          <w:kern w:val="0"/>
          <w:sz w:val="21"/>
          <w:szCs w:val="21"/>
          <w:lang w:eastAsia="zh-Hans"/>
        </w:rPr>
        <w:t>的理解与解释应依据合同目的和文本原意进行，本合同的标题仅是为了阅读方便而设，不应影响本合同的解释</w:t>
      </w:r>
      <w:r>
        <w:rPr>
          <w:rFonts w:hint="eastAsia" w:ascii="仿宋_GB2312" w:hAnsi="仿宋_GB2312" w:eastAsia="仿宋_GB2312" w:cs="仿宋_GB2312"/>
          <w:kern w:val="0"/>
          <w:sz w:val="21"/>
          <w:szCs w:val="21"/>
        </w:rPr>
        <w:t>。</w:t>
      </w:r>
    </w:p>
    <w:p>
      <w:pPr>
        <w:pStyle w:val="19"/>
        <w:ind w:firstLine="422" w:firstLineChars="200"/>
        <w:jc w:val="both"/>
        <w:rPr>
          <w:rFonts w:hint="eastAsia" w:ascii="仿宋_GB2312" w:hAnsi="仿宋_GB2312" w:eastAsia="仿宋_GB2312" w:cs="仿宋_GB2312"/>
          <w:sz w:val="21"/>
          <w:szCs w:val="21"/>
        </w:rPr>
      </w:pPr>
      <w:bookmarkStart w:id="48" w:name="_Toc102045111"/>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Hans"/>
        </w:rPr>
        <w:t>七</w:t>
      </w:r>
      <w:r>
        <w:rPr>
          <w:rFonts w:hint="eastAsia" w:ascii="仿宋_GB2312" w:hAnsi="仿宋_GB2312" w:eastAsia="仿宋_GB2312" w:cs="仿宋_GB2312"/>
          <w:sz w:val="21"/>
          <w:szCs w:val="21"/>
        </w:rPr>
        <w:t>条 争议解决</w:t>
      </w:r>
      <w:bookmarkEnd w:id="46"/>
      <w:bookmarkEnd w:id="48"/>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17.1 合同履行过程中发生争议时，双方应本着真诚合作的精神，通过友好协商解决。</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17.2 若争议经协商仍无法解决的，双方约定选择的解决方式为：向甲方所在地人民法院提起诉讼。</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17.3 在仲裁或诉讼期间，合同中未涉及争议部分的条款仍须履行。</w:t>
      </w:r>
      <w:bookmarkStart w:id="49" w:name="_Toc1189"/>
    </w:p>
    <w:p>
      <w:pPr>
        <w:pStyle w:val="19"/>
        <w:ind w:firstLine="422" w:firstLineChars="200"/>
        <w:jc w:val="both"/>
        <w:rPr>
          <w:rFonts w:hint="eastAsia" w:ascii="仿宋_GB2312" w:hAnsi="仿宋_GB2312" w:eastAsia="仿宋_GB2312" w:cs="仿宋_GB2312"/>
          <w:sz w:val="21"/>
          <w:szCs w:val="21"/>
        </w:rPr>
      </w:pPr>
      <w:bookmarkStart w:id="50" w:name="_Toc102045112"/>
      <w:r>
        <w:rPr>
          <w:rFonts w:hint="eastAsia" w:ascii="仿宋_GB2312" w:hAnsi="仿宋_GB2312" w:eastAsia="仿宋_GB2312" w:cs="仿宋_GB2312"/>
          <w:sz w:val="21"/>
          <w:szCs w:val="21"/>
        </w:rPr>
        <w:t>第十</w:t>
      </w:r>
      <w:r>
        <w:rPr>
          <w:rFonts w:hint="eastAsia" w:ascii="仿宋_GB2312" w:hAnsi="仿宋_GB2312" w:eastAsia="仿宋_GB2312" w:cs="仿宋_GB2312"/>
          <w:sz w:val="21"/>
          <w:szCs w:val="21"/>
          <w:lang w:eastAsia="zh-Hans"/>
        </w:rPr>
        <w:t>八</w:t>
      </w:r>
      <w:r>
        <w:rPr>
          <w:rFonts w:hint="eastAsia" w:ascii="仿宋_GB2312" w:hAnsi="仿宋_GB2312" w:eastAsia="仿宋_GB2312" w:cs="仿宋_GB2312"/>
          <w:sz w:val="21"/>
          <w:szCs w:val="21"/>
        </w:rPr>
        <w:t>条 合同的效力</w:t>
      </w:r>
      <w:bookmarkEnd w:id="49"/>
      <w:bookmarkEnd w:id="50"/>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本合同自双方授权代表人签字并盖章之日起生效。</w:t>
      </w:r>
    </w:p>
    <w:p>
      <w:pPr>
        <w:widowControl/>
        <w:spacing w:line="560" w:lineRule="exact"/>
        <w:ind w:firstLine="420" w:firstLineChars="2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本合同正本一式</w:t>
      </w:r>
      <w:r>
        <w:rPr>
          <w:rFonts w:hint="eastAsia" w:ascii="仿宋_GB2312" w:hAnsi="仿宋_GB2312" w:eastAsia="仿宋_GB2312" w:cs="仿宋_GB2312"/>
          <w:kern w:val="0"/>
          <w:sz w:val="21"/>
          <w:szCs w:val="21"/>
          <w:u w:val="single"/>
        </w:rPr>
        <w:t xml:space="preserve"> 捌 </w:t>
      </w:r>
      <w:r>
        <w:rPr>
          <w:rFonts w:hint="eastAsia" w:ascii="仿宋_GB2312" w:hAnsi="仿宋_GB2312" w:eastAsia="仿宋_GB2312" w:cs="仿宋_GB2312"/>
          <w:kern w:val="0"/>
          <w:sz w:val="21"/>
          <w:szCs w:val="21"/>
        </w:rPr>
        <w:t>份，双方各执</w:t>
      </w:r>
      <w:r>
        <w:rPr>
          <w:rFonts w:hint="eastAsia" w:ascii="仿宋_GB2312" w:hAnsi="仿宋_GB2312" w:eastAsia="仿宋_GB2312" w:cs="仿宋_GB2312"/>
          <w:kern w:val="0"/>
          <w:sz w:val="21"/>
          <w:szCs w:val="21"/>
          <w:u w:val="single"/>
        </w:rPr>
        <w:t xml:space="preserve"> 肆 </w:t>
      </w:r>
      <w:r>
        <w:rPr>
          <w:rFonts w:hint="eastAsia" w:ascii="仿宋_GB2312" w:hAnsi="仿宋_GB2312" w:eastAsia="仿宋_GB2312" w:cs="仿宋_GB2312"/>
          <w:kern w:val="0"/>
          <w:sz w:val="21"/>
          <w:szCs w:val="21"/>
        </w:rPr>
        <w:t>份，具有同等法律效力。</w:t>
      </w:r>
    </w:p>
    <w:p>
      <w:pPr>
        <w:spacing w:line="500" w:lineRule="exact"/>
        <w:ind w:firstLine="420" w:firstLineChars="200"/>
        <w:rPr>
          <w:rFonts w:hint="eastAsia" w:ascii="仿宋_GB2312" w:hAnsi="仿宋_GB2312" w:eastAsia="仿宋_GB2312" w:cs="仿宋_GB2312"/>
          <w:sz w:val="21"/>
          <w:szCs w:val="21"/>
        </w:rPr>
      </w:pPr>
    </w:p>
    <w:p>
      <w:pPr>
        <w:spacing w:line="5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甲方（盖章）：</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乙方（盖章）：</w:t>
      </w:r>
    </w:p>
    <w:p>
      <w:pPr>
        <w:spacing w:line="500" w:lineRule="exact"/>
        <w:ind w:firstLine="420" w:firstLineChars="200"/>
        <w:rPr>
          <w:rFonts w:hint="eastAsia" w:ascii="仿宋_GB2312" w:hAnsi="仿宋_GB2312" w:eastAsia="仿宋_GB2312" w:cs="仿宋_GB2312"/>
          <w:sz w:val="21"/>
          <w:szCs w:val="21"/>
        </w:rPr>
      </w:pPr>
    </w:p>
    <w:p>
      <w:pPr>
        <w:spacing w:line="5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授权代表人（签字）：</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授权代表人（签字）：</w:t>
      </w:r>
    </w:p>
    <w:p>
      <w:pPr>
        <w:spacing w:line="50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2022年  月  日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2022年  月  日  </w:t>
      </w:r>
    </w:p>
    <w:p>
      <w:pPr>
        <w:widowControl/>
        <w:spacing w:line="440" w:lineRule="exact"/>
        <w:jc w:val="both"/>
        <w:outlineLvl w:val="0"/>
        <w:rPr>
          <w:rFonts w:eastAsia="黑体"/>
          <w:sz w:val="32"/>
          <w:szCs w:val="32"/>
          <w:highlight w:val="none"/>
        </w:rPr>
      </w:pPr>
      <w:bookmarkStart w:id="51" w:name="_Toc103178535"/>
      <w:r>
        <w:rPr>
          <w:rFonts w:eastAsia="黑体"/>
          <w:sz w:val="32"/>
          <w:szCs w:val="32"/>
          <w:highlight w:val="none"/>
        </w:rPr>
        <w:br w:type="page"/>
      </w:r>
    </w:p>
    <w:p>
      <w:pPr>
        <w:widowControl/>
        <w:spacing w:line="440" w:lineRule="exact"/>
        <w:jc w:val="center"/>
        <w:outlineLvl w:val="0"/>
        <w:rPr>
          <w:rFonts w:eastAsiaTheme="minorEastAsia"/>
          <w:b/>
          <w:kern w:val="0"/>
          <w:sz w:val="18"/>
          <w:szCs w:val="18"/>
          <w:highlight w:val="none"/>
        </w:rPr>
      </w:pPr>
      <w:r>
        <w:rPr>
          <w:rFonts w:eastAsia="黑体"/>
          <w:sz w:val="32"/>
          <w:szCs w:val="32"/>
          <w:highlight w:val="none"/>
        </w:rPr>
        <w:t>第五章 采购需求</w:t>
      </w:r>
      <w:bookmarkEnd w:id="51"/>
    </w:p>
    <w:p>
      <w:pPr>
        <w:numPr>
          <w:ilvl w:val="0"/>
          <w:numId w:val="1"/>
        </w:numPr>
        <w:adjustRightInd w:val="0"/>
        <w:snapToGrid w:val="0"/>
        <w:spacing w:before="156" w:beforeLines="50" w:after="156" w:afterLines="50" w:line="400" w:lineRule="exact"/>
        <w:outlineLvl w:val="1"/>
        <w:rPr>
          <w:rFonts w:hint="eastAsia" w:ascii="仿宋_GB2312" w:hAnsi="仿宋_GB2312" w:eastAsia="仿宋_GB2312" w:cs="仿宋_GB2312"/>
          <w:b/>
          <w:bCs w:val="0"/>
          <w:kern w:val="0"/>
          <w:sz w:val="24"/>
          <w:szCs w:val="24"/>
          <w:highlight w:val="none"/>
        </w:rPr>
      </w:pPr>
      <w:bookmarkStart w:id="52" w:name="_Toc103178537"/>
      <w:r>
        <w:rPr>
          <w:rFonts w:hint="eastAsia" w:ascii="仿宋_GB2312" w:hAnsi="仿宋_GB2312" w:eastAsia="仿宋_GB2312" w:cs="仿宋_GB2312"/>
          <w:b/>
          <w:bCs w:val="0"/>
          <w:kern w:val="0"/>
          <w:sz w:val="24"/>
          <w:szCs w:val="24"/>
          <w:highlight w:val="none"/>
        </w:rPr>
        <w:t>服务内容</w:t>
      </w:r>
      <w:bookmarkEnd w:id="52"/>
    </w:p>
    <w:p>
      <w:pPr>
        <w:pStyle w:val="2"/>
        <w:numPr>
          <w:ilvl w:val="0"/>
          <w:numId w:val="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本项目服务内容包含但不限于以下8项:</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（1）参与需方经营决策。就需方的经营决策、重大经济活动提供合法性、可行性、风险预测及对策等法律方面的咨询意见，或者应需方要求，对该事项进行法律论证，出具律师咨询意见书。</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（2）重大事项法律事务论证。参与需方涉及的长期投资、融资、企业改制、重组、并购等法律事务，提供咨询意见或出具书面法律意见。</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合同及规章制度管理服务。协助需方草拟、修改、审查重要的经济合同、章程、企业规章制度和有关法律事务文书。草拟、制定、审查或修改章程、决定、声明、命令、规章制度等法律文书或其他法律文件；协助完善合同管理制度，劳动合同范本及人事管理的规章制度；审查、修改对外签订的合同等法律文件；及时发现合同履行中潜在法律风险，形成预警处理方案。</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纠纷处理。参与处理涉及需方尚未形成诉讼的民事纠纷、经济纠纷、行政纠纷和其他重大纠纷；及时发现可能引起的诉讼，对已经被威胁诉讼的投诉、情况反映，收集相关证据，评估诉讼风险，形成处理方案；受需方委托，参加诉讼、仲裁、行政复议和调解活动，在个案处理完毕后，总结形成案例通报，并提出改进意见。</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（5）业务磋商及现场服务。参与需方重大经济项目的业务磋商和签约活动；应需方要求，参加需方重大经济项目或其他事项的现场讨论会议，提供现场法律咨询。</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协同处理突发事件危机公关。协同处理业主维权引起的突发事件和公关危机。收集证据，形成合理、合法的处理意见和应对方案。协助与事件相对方、政府主管部门、新闻媒体等进行交涉，降低、消除突发事件对公司利益的危害和对公司声誉的影响。</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公司治理及风险管理服务。应需方要求，就需方深化企业改革、完善法人治理结构、加强生产经菅管理、提高企业经济效益等有关问题提供法律咨询意见；应需方要求，对需方在风险管理、法制建设等方面的问题提供建议或支持；协助需方对现行管理制度进行补充和完善。</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（8）其他日常法律事务。响应方负责收集轨道交通行业、投融资、上市、资产重组等相关的法律、法规、典型案例，每季度或每月以书面形式定期发送给需方；办理需方委托的其他法律事务。</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2.服务范围</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项目主要服务需方集团总部及九景衢铁路浙江有限公司相关事项，但需方作为集团性公司，需对下属子（分）公司重要事项进行决策，故响应方应协同需方处理下属企业提交集团公司决策的相关重大法律事务，出具法律意见，协助指导下属公司的法律风险防范。</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3.工作量</w:t>
      </w:r>
    </w:p>
    <w:p>
      <w:pPr>
        <w:numPr>
          <w:ilvl w:val="0"/>
          <w:numId w:val="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预计一年工作量约144小时，具体工作量及难易度由响应方根据工作经验、工作内容和需方提供的企业情况估算。如果需方需要提供的法律服务明显高于预估工作小时的，双方以本次采购项目费用标准为参考，协商调整常年法律顾问费用。需方有权要求响应方在合同期结束后5日内根据需方要求内容提交当年法律服务总结报告，需方有权对响应方的履约状况进行独立评价，并作为续签合同的参考依据。</w:t>
      </w:r>
    </w:p>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4.服务方式和时限要求</w:t>
      </w:r>
    </w:p>
    <w:p>
      <w:pPr>
        <w:numPr>
          <w:ilvl w:val="0"/>
          <w:numId w:val="0"/>
        </w:num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（1）响应方应在服务过程中主动向需方或需方指定人员汇报沟通。主办律师应能及时满足需方要求，及时提供工作服务并出具意见的时限要求，否则需方有权根据情况扣减服务费用。</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（2）响应方提供法律服务，除本采购文件所述情形外，原则应由投标响应文件委派律师提供法律服务，部分辅助性工作可由响应方律师助理完成。</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响应方应及时向需方提供法律服务，一般性法律服务工作通常不应超过1个工作日给予回复，较为复杂的工作可以根据实际情况确定。在需方合理提前通知情形下（原则上应提前2个工作日）,响应方应从投标文件委派律师中至少指定一名参加需方组织的现场或电话讨论会议。</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（4）响应方提供法律意见，原则应提供书面意见（可为邮件）,应需方要求，重大经营决策或其它重要事项应提交规范的法律咨询意见书。</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（5）应需方要求，响应方对需方网上0A审批的重大合同等文件，在 OA 系统进行法律审核，并签署审核意见。涉及需方重大合作事项，无合同参考文本的，经需方提供基本依据和说明，响应方给予合同起草支持。</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5.团队成员要求</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合同履行过程中，响应方所委派律师须与附件四列明人员一致且不得随意更换，若律师因合理原因（包括但不限于正常调动、离职、时间冲突、回避、身体状况等）无法继续或暂时不能提供服务时，律师应及时告知需方，并由双方协商另行指派其他合适的律师接替；需方不同意其他律师接替的，视为需方解除合同，合同终止履行。</w:t>
      </w:r>
    </w:p>
    <w:p>
      <w:pPr>
        <w:pStyle w:val="2"/>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（2）担任法律顾问的律师不能履行合同规定的各项义务或不能胜任该项工作的，需方有权提请响应方予以调换或商请其他同等资历的律师担任。</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highlight w:val="none"/>
        </w:rPr>
        <w:t>如响应方违反律师职业道德和执业纪律的规定，且在合</w:t>
      </w:r>
      <w:r>
        <w:rPr>
          <w:rFonts w:hint="eastAsia" w:ascii="仿宋_GB2312" w:hAnsi="仿宋_GB2312" w:eastAsia="仿宋_GB2312" w:cs="仿宋_GB2312"/>
          <w:sz w:val="21"/>
          <w:szCs w:val="21"/>
          <w:highlight w:val="none"/>
          <w:lang w:eastAsia="zh-CN"/>
        </w:rPr>
        <w:t>理</w:t>
      </w:r>
      <w:r>
        <w:rPr>
          <w:rFonts w:hint="eastAsia" w:ascii="仿宋_GB2312" w:hAnsi="仿宋_GB2312" w:eastAsia="仿宋_GB2312" w:cs="仿宋_GB2312"/>
          <w:sz w:val="21"/>
          <w:szCs w:val="21"/>
          <w:highlight w:val="none"/>
        </w:rPr>
        <w:t>期限内不予以纠正的，需方有权解除本合同；如响应方超过3次</w:t>
      </w:r>
      <w:r>
        <w:rPr>
          <w:rFonts w:hint="eastAsia" w:ascii="仿宋_GB2312" w:hAnsi="仿宋_GB2312" w:eastAsia="仿宋_GB2312" w:cs="仿宋_GB2312"/>
          <w:sz w:val="21"/>
          <w:szCs w:val="21"/>
          <w:highlight w:val="none"/>
          <w:lang w:eastAsia="zh-CN"/>
        </w:rPr>
        <w:t>未</w:t>
      </w:r>
      <w:r>
        <w:rPr>
          <w:rFonts w:hint="eastAsia" w:ascii="仿宋_GB2312" w:hAnsi="仿宋_GB2312" w:eastAsia="仿宋_GB2312" w:cs="仿宋_GB2312"/>
          <w:sz w:val="21"/>
          <w:szCs w:val="21"/>
          <w:highlight w:val="none"/>
        </w:rPr>
        <w:t>能按照要求提供服务的，需方有权单方解除合同。需方的解除</w:t>
      </w:r>
      <w:r>
        <w:rPr>
          <w:rFonts w:hint="eastAsia" w:ascii="仿宋_GB2312" w:hAnsi="仿宋_GB2312" w:eastAsia="仿宋_GB2312" w:cs="仿宋_GB2312"/>
          <w:sz w:val="21"/>
          <w:szCs w:val="21"/>
          <w:highlight w:val="none"/>
          <w:lang w:eastAsia="zh-CN"/>
        </w:rPr>
        <w:t>通知</w:t>
      </w:r>
      <w:r>
        <w:rPr>
          <w:rFonts w:hint="eastAsia" w:ascii="仿宋_GB2312" w:hAnsi="仿宋_GB2312" w:eastAsia="仿宋_GB2312" w:cs="仿宋_GB2312"/>
          <w:sz w:val="21"/>
          <w:szCs w:val="21"/>
          <w:highlight w:val="none"/>
        </w:rPr>
        <w:t>在响应方收到之日生效，一旦收到解除通知，响应方和律师立即</w:t>
      </w:r>
      <w:r>
        <w:rPr>
          <w:rFonts w:hint="eastAsia" w:ascii="仿宋_GB2312" w:hAnsi="仿宋_GB2312" w:eastAsia="仿宋_GB2312" w:cs="仿宋_GB2312"/>
          <w:sz w:val="21"/>
          <w:szCs w:val="21"/>
          <w:highlight w:val="none"/>
          <w:lang w:eastAsia="zh-CN"/>
        </w:rPr>
        <w:t>停</w:t>
      </w:r>
      <w:r>
        <w:rPr>
          <w:rFonts w:hint="eastAsia" w:ascii="仿宋_GB2312" w:hAnsi="仿宋_GB2312" w:eastAsia="仿宋_GB2312" w:cs="仿宋_GB2312"/>
          <w:sz w:val="21"/>
          <w:szCs w:val="21"/>
          <w:highlight w:val="none"/>
        </w:rPr>
        <w:t>止提供常年法律顾问服务。因上列情形解除时，响应方应按照已服务的小时数对应的前述预估的服务小时数比例，折合合同总费用比例，计算出响应方实际提供服务小时数对应的费用，作为解除合同时，双方结算的依据。</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6.保密</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对需方商业秘密和与本项目有关的非公开的信息、资料进行保密，不得向任何第三方披露。</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7.服务期限</w:t>
      </w:r>
    </w:p>
    <w:p>
      <w:pPr>
        <w:pStyle w:val="2"/>
        <w:numPr>
          <w:ilvl w:val="0"/>
          <w:numId w:val="0"/>
        </w:numPr>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服务时间2年，服务起止时间以项目合同为准，服务优秀供应商可在不提高费用的前提下续签1次，续签期限1-2年。</w:t>
      </w:r>
    </w:p>
    <w:p>
      <w:pPr>
        <w:numPr>
          <w:ilvl w:val="0"/>
          <w:numId w:val="0"/>
        </w:numPr>
        <w:rPr>
          <w:rFonts w:hint="eastAsia" w:ascii="仿宋_GB2312" w:hAnsi="仿宋_GB2312" w:eastAsia="仿宋_GB2312" w:cs="仿宋_GB2312"/>
          <w:b/>
          <w:bCs w:val="0"/>
          <w:kern w:val="0"/>
          <w:sz w:val="24"/>
          <w:szCs w:val="24"/>
          <w:highlight w:val="none"/>
          <w:lang w:val="en-US" w:eastAsia="zh-CN"/>
        </w:rPr>
      </w:pPr>
      <w:r>
        <w:rPr>
          <w:rFonts w:hint="eastAsia" w:ascii="仿宋_GB2312" w:hAnsi="仿宋_GB2312" w:eastAsia="仿宋_GB2312" w:cs="仿宋_GB2312"/>
          <w:b/>
          <w:bCs w:val="0"/>
          <w:kern w:val="0"/>
          <w:sz w:val="24"/>
          <w:szCs w:val="24"/>
          <w:highlight w:val="none"/>
          <w:lang w:val="en-US" w:eastAsia="zh-CN"/>
        </w:rPr>
        <w:t>8.常年法律顾问费及其他费用</w:t>
      </w:r>
    </w:p>
    <w:p>
      <w:pPr>
        <w:pStyle w:val="2"/>
        <w:numPr>
          <w:ilvl w:val="0"/>
          <w:numId w:val="0"/>
        </w:numPr>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本项目实行最高限价</w:t>
      </w:r>
      <w:r>
        <w:rPr>
          <w:rFonts w:hint="eastAsia" w:ascii="仿宋_GB2312" w:hAnsi="仿宋_GB2312" w:eastAsia="仿宋_GB2312" w:cs="仿宋_GB2312"/>
          <w:sz w:val="21"/>
          <w:szCs w:val="21"/>
          <w:highlight w:val="none"/>
          <w:lang w:val="en-US" w:eastAsia="zh-CN"/>
        </w:rPr>
        <w:t>9</w:t>
      </w:r>
      <w:r>
        <w:rPr>
          <w:rFonts w:hint="eastAsia" w:ascii="仿宋_GB2312" w:hAnsi="仿宋_GB2312" w:eastAsia="仿宋_GB2312" w:cs="仿宋_GB2312"/>
          <w:sz w:val="21"/>
          <w:szCs w:val="21"/>
          <w:highlight w:val="none"/>
        </w:rPr>
        <w:t>万元／年，本项目签约金额以中选响应方报价为准。</w:t>
      </w:r>
    </w:p>
    <w:p>
      <w:pPr>
        <w:pStyle w:val="2"/>
        <w:numPr>
          <w:ilvl w:val="0"/>
          <w:numId w:val="0"/>
        </w:numPr>
        <w:ind w:left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合同期内，常年法律顾问为需方办理本采购文件服务内容及相关要求范围内的一般法律事务时不再收费。</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响应方应根据业务开展对特别法律业务知识需要，另行委托本所其它律师或国内外专业机构提供协助工作，所产生各类费用包含于本次报价。</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响应方根据需方需求，每年出具正式法律意见书（不附加出具主体等其他条件）数量在3份及以下时不再另行收费，超出3份时双方根据具体法律事务的难易程度结合市场行情另行协商。</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响应方接受需方委托进行诉讼、仲裁、行政复议、劳动仲裁等案件代理则应另行办理委托手续，响应方可优先接受委托，并参照浙江省物价局、浙江省司法厅《关于制定律师服务收费标准的通知》（浙价服［2011)212号）低档标准的70％收费。</w:t>
      </w:r>
    </w:p>
    <w:p>
      <w:pPr>
        <w:pStyle w:val="2"/>
        <w:ind w:left="0" w:leftChars="0"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下列与常年法律顾问服务有关的间接费用开支由需方负担，且未包含在本采购项目年法律顾问费中，该等费用由响应方律师凭正规发票向需方按实报销：包括但不限于委托审计费、鉴定费、公证费、查档费，其它用于收集资料的费用。</w:t>
      </w: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ascii="仿宋_GB2312" w:hAnsi="仿宋_GB2312" w:eastAsia="仿宋_GB2312" w:cs="仿宋_GB2312"/>
          <w:sz w:val="21"/>
          <w:szCs w:val="21"/>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jc w:val="center"/>
        <w:rPr>
          <w:rFonts w:eastAsia="黑体"/>
          <w:snapToGrid w:val="0"/>
          <w:kern w:val="0"/>
          <w:sz w:val="32"/>
          <w:szCs w:val="32"/>
          <w:highlight w:val="none"/>
        </w:rPr>
        <w:sectPr>
          <w:pgSz w:w="11907" w:h="16840"/>
          <w:pgMar w:top="1361" w:right="1474" w:bottom="1361" w:left="1588" w:header="680" w:footer="680" w:gutter="0"/>
          <w:pgNumType w:fmt="numberInDash"/>
          <w:cols w:space="720" w:num="1"/>
          <w:titlePg/>
          <w:docGrid w:type="lines" w:linePitch="312" w:charSpace="0"/>
        </w:sectPr>
      </w:pPr>
    </w:p>
    <w:p>
      <w:pPr>
        <w:jc w:val="center"/>
        <w:rPr>
          <w:rFonts w:eastAsia="黑体"/>
          <w:snapToGrid w:val="0"/>
          <w:kern w:val="0"/>
          <w:sz w:val="32"/>
          <w:szCs w:val="32"/>
          <w:highlight w:val="none"/>
        </w:rPr>
      </w:pPr>
      <w:r>
        <w:rPr>
          <w:rFonts w:eastAsia="黑体"/>
          <w:snapToGrid w:val="0"/>
          <w:kern w:val="0"/>
          <w:sz w:val="32"/>
          <w:szCs w:val="32"/>
          <w:highlight w:val="none"/>
        </w:rPr>
        <w:t>第六章 响应文件格式</w:t>
      </w:r>
    </w:p>
    <w:p>
      <w:pPr>
        <w:jc w:val="center"/>
        <w:rPr>
          <w:b/>
          <w:bCs/>
          <w:spacing w:val="20"/>
          <w:sz w:val="48"/>
          <w:szCs w:val="84"/>
          <w:highlight w:val="none"/>
        </w:rPr>
      </w:pPr>
    </w:p>
    <w:p>
      <w:pPr>
        <w:jc w:val="center"/>
        <w:rPr>
          <w:rFonts w:ascii="黑体" w:hAnsi="黑体" w:eastAsia="黑体"/>
          <w:spacing w:val="20"/>
          <w:sz w:val="44"/>
          <w:szCs w:val="44"/>
          <w:highlight w:val="none"/>
          <w:lang w:eastAsia="zh-Hans"/>
        </w:rPr>
      </w:pPr>
      <w:r>
        <w:rPr>
          <w:rFonts w:ascii="黑体" w:hAnsi="黑体" w:eastAsia="黑体"/>
          <w:spacing w:val="20"/>
          <w:sz w:val="44"/>
          <w:szCs w:val="44"/>
          <w:highlight w:val="none"/>
        </w:rPr>
        <w:t xml:space="preserve">浙江省铁路发展控股集团有限责任公司 </w:t>
      </w:r>
      <w:r>
        <w:rPr>
          <w:rFonts w:hint="eastAsia" w:ascii="黑体" w:hAnsi="黑体" w:eastAsia="黑体"/>
          <w:spacing w:val="20"/>
          <w:sz w:val="44"/>
          <w:szCs w:val="44"/>
          <w:highlight w:val="none"/>
          <w:lang w:eastAsia="zh-CN"/>
        </w:rPr>
        <w:t>常年法律顾问</w:t>
      </w:r>
      <w:r>
        <w:rPr>
          <w:rFonts w:ascii="黑体" w:hAnsi="黑体" w:eastAsia="黑体"/>
          <w:spacing w:val="20"/>
          <w:sz w:val="44"/>
          <w:szCs w:val="44"/>
          <w:highlight w:val="none"/>
          <w:lang w:eastAsia="zh-Hans"/>
        </w:rPr>
        <w:t>服务</w:t>
      </w:r>
    </w:p>
    <w:p>
      <w:pPr>
        <w:jc w:val="center"/>
        <w:rPr>
          <w:rFonts w:ascii="黑体" w:hAnsi="黑体" w:eastAsia="黑体"/>
          <w:spacing w:val="20"/>
          <w:sz w:val="44"/>
          <w:szCs w:val="44"/>
          <w:highlight w:val="none"/>
        </w:rPr>
      </w:pPr>
      <w:r>
        <w:rPr>
          <w:rFonts w:ascii="黑体" w:hAnsi="黑体" w:eastAsia="黑体"/>
          <w:spacing w:val="20"/>
          <w:sz w:val="44"/>
          <w:szCs w:val="44"/>
          <w:highlight w:val="none"/>
        </w:rPr>
        <w:t>采购项目</w:t>
      </w:r>
    </w:p>
    <w:p>
      <w:pPr>
        <w:jc w:val="center"/>
        <w:rPr>
          <w:b/>
          <w:bCs/>
          <w:spacing w:val="20"/>
          <w:sz w:val="48"/>
          <w:szCs w:val="84"/>
          <w:highlight w:val="none"/>
        </w:rPr>
      </w:pPr>
    </w:p>
    <w:p>
      <w:pPr>
        <w:jc w:val="center"/>
        <w:rPr>
          <w:b/>
          <w:bCs/>
          <w:spacing w:val="20"/>
          <w:sz w:val="48"/>
          <w:szCs w:val="84"/>
          <w:highlight w:val="none"/>
        </w:rPr>
      </w:pPr>
    </w:p>
    <w:p>
      <w:pPr>
        <w:jc w:val="center"/>
        <w:rPr>
          <w:b/>
          <w:bCs/>
          <w:spacing w:val="20"/>
          <w:sz w:val="48"/>
          <w:szCs w:val="84"/>
          <w:highlight w:val="none"/>
        </w:rPr>
      </w:pPr>
    </w:p>
    <w:p>
      <w:pPr>
        <w:adjustRightInd w:val="0"/>
        <w:snapToGrid w:val="0"/>
        <w:spacing w:line="480" w:lineRule="auto"/>
        <w:ind w:right="361"/>
        <w:jc w:val="center"/>
        <w:rPr>
          <w:b/>
          <w:bCs/>
          <w:sz w:val="52"/>
          <w:szCs w:val="52"/>
          <w:highlight w:val="none"/>
        </w:rPr>
      </w:pPr>
    </w:p>
    <w:p>
      <w:pPr>
        <w:adjustRightInd w:val="0"/>
        <w:snapToGrid w:val="0"/>
        <w:spacing w:line="480" w:lineRule="auto"/>
        <w:ind w:right="361"/>
        <w:jc w:val="center"/>
        <w:rPr>
          <w:sz w:val="72"/>
          <w:szCs w:val="72"/>
          <w:highlight w:val="none"/>
        </w:rPr>
      </w:pPr>
      <w:r>
        <w:rPr>
          <w:b/>
          <w:bCs/>
          <w:sz w:val="72"/>
          <w:szCs w:val="72"/>
          <w:highlight w:val="none"/>
        </w:rPr>
        <w:t>询 比 响 应 文 件</w:t>
      </w:r>
    </w:p>
    <w:p>
      <w:pPr>
        <w:ind w:left="1888" w:leftChars="899" w:firstLine="210" w:firstLineChars="87"/>
        <w:rPr>
          <w:b/>
          <w:bCs/>
          <w:sz w:val="24"/>
          <w:highlight w:val="none"/>
        </w:rPr>
      </w:pPr>
    </w:p>
    <w:p>
      <w:pPr>
        <w:ind w:left="1888" w:leftChars="899" w:firstLine="210" w:firstLineChars="87"/>
        <w:rPr>
          <w:b/>
          <w:bCs/>
          <w:sz w:val="24"/>
          <w:highlight w:val="none"/>
        </w:rPr>
      </w:pPr>
    </w:p>
    <w:p>
      <w:pPr>
        <w:pStyle w:val="2"/>
        <w:ind w:firstLine="210"/>
        <w:rPr>
          <w:highlight w:val="none"/>
        </w:rPr>
      </w:pPr>
    </w:p>
    <w:p>
      <w:pPr>
        <w:rPr>
          <w:highlight w:val="none"/>
        </w:rPr>
      </w:pPr>
    </w:p>
    <w:p>
      <w:pPr>
        <w:pStyle w:val="2"/>
        <w:ind w:firstLine="210"/>
        <w:rPr>
          <w:highlight w:val="none"/>
        </w:rPr>
      </w:pPr>
    </w:p>
    <w:p>
      <w:pPr>
        <w:spacing w:line="600" w:lineRule="exact"/>
        <w:ind w:firstLine="1800" w:firstLineChars="500"/>
        <w:rPr>
          <w:spacing w:val="30"/>
          <w:sz w:val="30"/>
          <w:szCs w:val="30"/>
          <w:highlight w:val="none"/>
        </w:rPr>
      </w:pPr>
    </w:p>
    <w:p>
      <w:pPr>
        <w:spacing w:line="600" w:lineRule="exact"/>
        <w:ind w:firstLine="1800" w:firstLineChars="500"/>
        <w:rPr>
          <w:spacing w:val="30"/>
          <w:sz w:val="30"/>
          <w:szCs w:val="30"/>
          <w:highlight w:val="none"/>
        </w:rPr>
      </w:pPr>
      <w:r>
        <w:rPr>
          <w:spacing w:val="30"/>
          <w:sz w:val="30"/>
          <w:szCs w:val="30"/>
          <w:highlight w:val="none"/>
        </w:rPr>
        <w:t>项 目 编 号：ZTJT-</w:t>
      </w:r>
      <w:r>
        <w:rPr>
          <w:rFonts w:hint="eastAsia"/>
          <w:spacing w:val="30"/>
          <w:sz w:val="30"/>
          <w:szCs w:val="30"/>
          <w:highlight w:val="none"/>
          <w:lang w:val="en-US" w:eastAsia="zh-CN"/>
        </w:rPr>
        <w:t>ZC</w:t>
      </w:r>
      <w:r>
        <w:rPr>
          <w:spacing w:val="30"/>
          <w:sz w:val="30"/>
          <w:szCs w:val="30"/>
          <w:highlight w:val="none"/>
        </w:rPr>
        <w:t>-FW-202200</w:t>
      </w:r>
      <w:r>
        <w:rPr>
          <w:rFonts w:hint="eastAsia"/>
          <w:spacing w:val="30"/>
          <w:sz w:val="30"/>
          <w:szCs w:val="30"/>
          <w:highlight w:val="none"/>
          <w:lang w:val="en-US" w:eastAsia="zh-CN"/>
        </w:rPr>
        <w:t>6</w:t>
      </w:r>
    </w:p>
    <w:p>
      <w:pPr>
        <w:spacing w:line="540" w:lineRule="exact"/>
        <w:ind w:firstLine="1800" w:firstLineChars="500"/>
        <w:rPr>
          <w:spacing w:val="30"/>
          <w:sz w:val="30"/>
          <w:szCs w:val="30"/>
          <w:highlight w:val="none"/>
        </w:rPr>
      </w:pPr>
      <w:r>
        <w:rPr>
          <w:spacing w:val="30"/>
          <w:sz w:val="30"/>
          <w:szCs w:val="30"/>
          <w:highlight w:val="none"/>
        </w:rPr>
        <w:t>采 购 方 式：询比采购</w:t>
      </w:r>
    </w:p>
    <w:p>
      <w:pPr>
        <w:spacing w:line="540" w:lineRule="exact"/>
        <w:ind w:firstLine="1800" w:firstLineChars="500"/>
        <w:rPr>
          <w:spacing w:val="30"/>
          <w:sz w:val="30"/>
          <w:szCs w:val="30"/>
          <w:highlight w:val="none"/>
        </w:rPr>
      </w:pPr>
      <w:r>
        <w:rPr>
          <w:spacing w:val="30"/>
          <w:sz w:val="30"/>
          <w:szCs w:val="30"/>
          <w:highlight w:val="none"/>
        </w:rPr>
        <w:t>供应商名称（盖章）：</w:t>
      </w:r>
    </w:p>
    <w:p>
      <w:pPr>
        <w:spacing w:line="540" w:lineRule="exact"/>
        <w:ind w:firstLine="1800" w:firstLineChars="500"/>
        <w:rPr>
          <w:spacing w:val="30"/>
          <w:sz w:val="30"/>
          <w:szCs w:val="30"/>
          <w:highlight w:val="none"/>
        </w:rPr>
      </w:pPr>
      <w:r>
        <w:rPr>
          <w:spacing w:val="30"/>
          <w:sz w:val="30"/>
          <w:szCs w:val="30"/>
          <w:highlight w:val="none"/>
        </w:rPr>
        <w:t>供应商联系方式：</w:t>
      </w:r>
    </w:p>
    <w:p>
      <w:pPr>
        <w:spacing w:line="540" w:lineRule="exact"/>
        <w:ind w:firstLine="1800" w:firstLineChars="500"/>
        <w:rPr>
          <w:spacing w:val="30"/>
          <w:sz w:val="30"/>
          <w:szCs w:val="30"/>
          <w:highlight w:val="none"/>
        </w:rPr>
      </w:pPr>
      <w:r>
        <w:rPr>
          <w:spacing w:val="30"/>
          <w:sz w:val="30"/>
          <w:szCs w:val="30"/>
          <w:highlight w:val="none"/>
        </w:rPr>
        <w:t>供应商地址：</w:t>
      </w:r>
    </w:p>
    <w:p>
      <w:pPr>
        <w:spacing w:line="540" w:lineRule="exact"/>
        <w:ind w:firstLine="1800" w:firstLineChars="500"/>
        <w:rPr>
          <w:bCs/>
          <w:snapToGrid w:val="0"/>
          <w:kern w:val="0"/>
          <w:sz w:val="32"/>
          <w:szCs w:val="28"/>
          <w:highlight w:val="none"/>
        </w:rPr>
      </w:pPr>
      <w:r>
        <w:rPr>
          <w:spacing w:val="30"/>
          <w:sz w:val="30"/>
          <w:szCs w:val="30"/>
          <w:highlight w:val="none"/>
        </w:rPr>
        <w:t>日期：</w:t>
      </w:r>
      <w:bookmarkStart w:id="53" w:name="_Toc38270836"/>
      <w:bookmarkStart w:id="54" w:name="_Toc501460785"/>
      <w:bookmarkStart w:id="55" w:name="_Toc42091474"/>
      <w:r>
        <w:rPr>
          <w:bCs/>
          <w:snapToGrid w:val="0"/>
          <w:kern w:val="0"/>
          <w:sz w:val="32"/>
          <w:szCs w:val="28"/>
          <w:highlight w:val="none"/>
        </w:rPr>
        <w:br w:type="page"/>
      </w:r>
    </w:p>
    <w:p>
      <w:pPr>
        <w:spacing w:line="600" w:lineRule="exact"/>
        <w:jc w:val="center"/>
        <w:rPr>
          <w:spacing w:val="30"/>
          <w:sz w:val="30"/>
          <w:szCs w:val="30"/>
          <w:highlight w:val="none"/>
        </w:rPr>
      </w:pPr>
      <w:r>
        <w:rPr>
          <w:bCs/>
          <w:snapToGrid w:val="0"/>
          <w:kern w:val="0"/>
          <w:sz w:val="32"/>
          <w:szCs w:val="28"/>
          <w:highlight w:val="none"/>
        </w:rPr>
        <w:t>目 录</w:t>
      </w:r>
      <w:bookmarkEnd w:id="53"/>
      <w:bookmarkEnd w:id="54"/>
      <w:bookmarkEnd w:id="55"/>
    </w:p>
    <w:p>
      <w:pPr>
        <w:rPr>
          <w:highlight w:val="none"/>
        </w:rPr>
      </w:pPr>
    </w:p>
    <w:p>
      <w:pPr>
        <w:pStyle w:val="27"/>
        <w:adjustRightInd w:val="0"/>
        <w:snapToGrid w:val="0"/>
        <w:spacing w:line="560" w:lineRule="exact"/>
        <w:ind w:left="560" w:firstLine="0" w:firstLineChars="0"/>
        <w:jc w:val="left"/>
        <w:rPr>
          <w:rFonts w:ascii="Times New Roman" w:hAnsi="Times New Roman" w:eastAsiaTheme="minorEastAsia"/>
          <w:sz w:val="28"/>
          <w:szCs w:val="28"/>
          <w:highlight w:val="none"/>
        </w:rPr>
      </w:pPr>
      <w:r>
        <w:rPr>
          <w:rFonts w:hint="eastAsia" w:ascii="Times New Roman" w:hAnsi="Times New Roman" w:eastAsiaTheme="minorEastAsia"/>
          <w:sz w:val="28"/>
          <w:szCs w:val="28"/>
          <w:highlight w:val="none"/>
        </w:rPr>
        <w:t>一、询比响应书</w:t>
      </w:r>
      <w:r>
        <w:rPr>
          <w:rFonts w:hint="eastAsia" w:ascii="Times New Roman" w:hAnsi="Times New Roman" w:eastAsiaTheme="minorEastAsia"/>
          <w:sz w:val="28"/>
          <w:szCs w:val="28"/>
          <w:highlight w:val="none"/>
          <w:lang w:eastAsia="zh-CN"/>
        </w:rPr>
        <w:t>（附件一）；</w:t>
      </w:r>
    </w:p>
    <w:p>
      <w:pPr>
        <w:pStyle w:val="27"/>
        <w:adjustRightInd w:val="0"/>
        <w:snapToGrid w:val="0"/>
        <w:spacing w:line="560" w:lineRule="exact"/>
        <w:ind w:left="560" w:firstLine="0" w:firstLineChars="0"/>
        <w:jc w:val="left"/>
        <w:rPr>
          <w:rFonts w:hint="eastAsia" w:ascii="Times New Roman" w:hAnsi="Times New Roman" w:eastAsiaTheme="minorEastAsia"/>
          <w:sz w:val="28"/>
          <w:szCs w:val="28"/>
          <w:highlight w:val="none"/>
          <w:lang w:eastAsia="zh-CN"/>
        </w:rPr>
      </w:pPr>
      <w:r>
        <w:rPr>
          <w:rFonts w:hint="eastAsia" w:ascii="Times New Roman" w:hAnsi="Times New Roman" w:eastAsiaTheme="minorEastAsia"/>
          <w:sz w:val="28"/>
          <w:szCs w:val="28"/>
          <w:highlight w:val="none"/>
        </w:rPr>
        <w:t>二、</w:t>
      </w:r>
      <w:r>
        <w:rPr>
          <w:rFonts w:hint="eastAsia" w:ascii="Times New Roman" w:hAnsi="Times New Roman" w:eastAsiaTheme="minorEastAsia"/>
          <w:sz w:val="28"/>
          <w:szCs w:val="28"/>
          <w:highlight w:val="none"/>
          <w:lang w:eastAsia="zh-CN"/>
        </w:rPr>
        <w:t>法定代表人授权书（附件二）；</w:t>
      </w:r>
    </w:p>
    <w:p>
      <w:pPr>
        <w:pStyle w:val="27"/>
        <w:adjustRightInd w:val="0"/>
        <w:snapToGrid w:val="0"/>
        <w:spacing w:line="560" w:lineRule="exact"/>
        <w:ind w:left="560" w:firstLine="0" w:firstLineChars="0"/>
        <w:jc w:val="left"/>
        <w:rPr>
          <w:rFonts w:ascii="Times New Roman" w:hAnsi="Times New Roman" w:eastAsiaTheme="minorEastAsia"/>
          <w:sz w:val="28"/>
          <w:szCs w:val="28"/>
          <w:highlight w:val="none"/>
        </w:rPr>
      </w:pPr>
      <w:r>
        <w:rPr>
          <w:rFonts w:hint="eastAsia" w:ascii="Times New Roman" w:hAnsi="Times New Roman" w:eastAsiaTheme="minorEastAsia"/>
          <w:sz w:val="28"/>
          <w:szCs w:val="28"/>
          <w:highlight w:val="none"/>
        </w:rPr>
        <w:t>三、</w:t>
      </w:r>
      <w:r>
        <w:rPr>
          <w:rFonts w:hint="eastAsia" w:ascii="Times New Roman" w:hAnsi="Times New Roman" w:eastAsiaTheme="minorEastAsia"/>
          <w:sz w:val="28"/>
          <w:szCs w:val="28"/>
          <w:highlight w:val="none"/>
          <w:lang w:eastAsia="zh-CN"/>
        </w:rPr>
        <w:t>被授权人身份证明或执业证件复印件；</w:t>
      </w:r>
    </w:p>
    <w:p>
      <w:pPr>
        <w:pStyle w:val="27"/>
        <w:adjustRightInd w:val="0"/>
        <w:snapToGrid w:val="0"/>
        <w:spacing w:line="560" w:lineRule="exact"/>
        <w:ind w:left="560" w:firstLine="0" w:firstLineChars="0"/>
        <w:jc w:val="left"/>
        <w:rPr>
          <w:rFonts w:ascii="Times New Roman" w:hAnsi="Times New Roman" w:eastAsiaTheme="minorEastAsia"/>
          <w:sz w:val="28"/>
          <w:szCs w:val="28"/>
          <w:highlight w:val="none"/>
        </w:rPr>
      </w:pPr>
      <w:r>
        <w:rPr>
          <w:rFonts w:hint="eastAsia" w:ascii="Times New Roman" w:hAnsi="Times New Roman" w:eastAsiaTheme="minorEastAsia"/>
          <w:sz w:val="28"/>
          <w:szCs w:val="28"/>
          <w:highlight w:val="none"/>
        </w:rPr>
        <w:t>四、</w:t>
      </w:r>
      <w:r>
        <w:rPr>
          <w:rFonts w:hint="eastAsia" w:ascii="Times New Roman" w:hAnsi="Times New Roman" w:eastAsiaTheme="minorEastAsia"/>
          <w:sz w:val="28"/>
          <w:szCs w:val="28"/>
          <w:highlight w:val="none"/>
          <w:lang w:eastAsia="zh-CN"/>
        </w:rPr>
        <w:t>律所执业许可证件复印件；</w:t>
      </w:r>
    </w:p>
    <w:p>
      <w:pPr>
        <w:pStyle w:val="27"/>
        <w:adjustRightInd w:val="0"/>
        <w:snapToGrid w:val="0"/>
        <w:spacing w:line="560" w:lineRule="exact"/>
        <w:ind w:left="560" w:firstLine="0" w:firstLineChars="0"/>
        <w:jc w:val="left"/>
        <w:rPr>
          <w:rFonts w:hint="eastAsia" w:ascii="Times New Roman" w:hAnsi="Times New Roman" w:eastAsiaTheme="minorEastAsia"/>
          <w:sz w:val="28"/>
          <w:szCs w:val="28"/>
          <w:highlight w:val="none"/>
          <w:lang w:eastAsia="zh-CN"/>
        </w:rPr>
      </w:pPr>
      <w:r>
        <w:rPr>
          <w:rFonts w:hint="eastAsia" w:ascii="Times New Roman" w:hAnsi="Times New Roman" w:eastAsiaTheme="minorEastAsia"/>
          <w:sz w:val="28"/>
          <w:szCs w:val="28"/>
          <w:highlight w:val="none"/>
        </w:rPr>
        <w:t>六、</w:t>
      </w:r>
      <w:r>
        <w:rPr>
          <w:rFonts w:hint="eastAsia" w:ascii="Times New Roman" w:hAnsi="Times New Roman" w:eastAsiaTheme="minorEastAsia"/>
          <w:sz w:val="28"/>
          <w:szCs w:val="28"/>
          <w:highlight w:val="none"/>
          <w:lang w:eastAsia="zh-CN"/>
        </w:rPr>
        <w:t>相关资质证书、荣誉证明材料；</w:t>
      </w:r>
    </w:p>
    <w:p>
      <w:pPr>
        <w:pStyle w:val="27"/>
        <w:adjustRightInd w:val="0"/>
        <w:snapToGrid w:val="0"/>
        <w:spacing w:line="560" w:lineRule="exact"/>
        <w:ind w:left="560" w:firstLine="0" w:firstLineChars="0"/>
        <w:jc w:val="left"/>
        <w:rPr>
          <w:rFonts w:hint="eastAsia" w:ascii="Times New Roman" w:hAnsi="Times New Roman" w:eastAsiaTheme="minorEastAsia"/>
          <w:sz w:val="28"/>
          <w:szCs w:val="28"/>
          <w:highlight w:val="none"/>
          <w:lang w:eastAsia="zh-CN"/>
        </w:rPr>
      </w:pPr>
      <w:r>
        <w:rPr>
          <w:rFonts w:hint="eastAsia" w:ascii="Times New Roman" w:hAnsi="Times New Roman" w:eastAsiaTheme="minorEastAsia"/>
          <w:sz w:val="28"/>
          <w:szCs w:val="28"/>
          <w:highlight w:val="none"/>
          <w:lang w:eastAsia="zh-CN"/>
        </w:rPr>
        <w:t>七、相关业绩；</w:t>
      </w:r>
    </w:p>
    <w:p>
      <w:pPr>
        <w:pStyle w:val="27"/>
        <w:numPr>
          <w:ilvl w:val="0"/>
          <w:numId w:val="0"/>
        </w:numPr>
        <w:adjustRightInd w:val="0"/>
        <w:snapToGrid w:val="0"/>
        <w:spacing w:line="560" w:lineRule="exact"/>
        <w:ind w:left="560" w:leftChars="0"/>
        <w:jc w:val="left"/>
        <w:rPr>
          <w:rFonts w:hint="eastAsia" w:ascii="Times New Roman" w:hAnsi="Times New Roman" w:eastAsiaTheme="minorEastAsia"/>
          <w:sz w:val="28"/>
          <w:szCs w:val="28"/>
          <w:highlight w:val="none"/>
          <w:lang w:eastAsia="zh-CN"/>
        </w:rPr>
      </w:pPr>
      <w:r>
        <w:rPr>
          <w:rFonts w:hint="eastAsia" w:ascii="Times New Roman" w:hAnsi="Times New Roman" w:eastAsiaTheme="minorEastAsia"/>
          <w:sz w:val="28"/>
          <w:szCs w:val="28"/>
          <w:highlight w:val="none"/>
          <w:lang w:eastAsia="zh-CN"/>
        </w:rPr>
        <w:t>八、项目团队人员情况；</w:t>
      </w:r>
    </w:p>
    <w:p>
      <w:pPr>
        <w:pStyle w:val="27"/>
        <w:numPr>
          <w:ilvl w:val="0"/>
          <w:numId w:val="0"/>
        </w:numPr>
        <w:adjustRightInd w:val="0"/>
        <w:snapToGrid w:val="0"/>
        <w:spacing w:line="560" w:lineRule="exact"/>
        <w:ind w:left="560" w:leftChars="0"/>
        <w:jc w:val="left"/>
        <w:rPr>
          <w:rFonts w:ascii="Times New Roman" w:hAnsi="Times New Roman" w:eastAsiaTheme="minorEastAsia"/>
          <w:sz w:val="28"/>
          <w:szCs w:val="28"/>
          <w:highlight w:val="none"/>
        </w:rPr>
      </w:pPr>
      <w:r>
        <w:rPr>
          <w:rFonts w:hint="eastAsia" w:ascii="Times New Roman" w:hAnsi="Times New Roman" w:eastAsiaTheme="minorEastAsia"/>
          <w:sz w:val="28"/>
          <w:szCs w:val="28"/>
          <w:highlight w:val="none"/>
          <w:lang w:eastAsia="zh-CN"/>
        </w:rPr>
        <w:t>九、报价单（附件四）；</w:t>
      </w:r>
    </w:p>
    <w:p>
      <w:pPr>
        <w:pStyle w:val="27"/>
        <w:adjustRightInd w:val="0"/>
        <w:snapToGrid w:val="0"/>
        <w:spacing w:line="560" w:lineRule="exact"/>
        <w:ind w:firstLine="560"/>
        <w:jc w:val="left"/>
        <w:rPr>
          <w:rFonts w:ascii="Times New Roman" w:hAnsi="Times New Roman" w:eastAsiaTheme="minorEastAsia"/>
          <w:sz w:val="28"/>
          <w:szCs w:val="28"/>
          <w:highlight w:val="none"/>
        </w:rPr>
      </w:pPr>
      <w:r>
        <w:rPr>
          <w:rFonts w:hint="eastAsia" w:ascii="Times New Roman" w:hAnsi="Times New Roman" w:eastAsiaTheme="minorEastAsia"/>
          <w:sz w:val="28"/>
          <w:szCs w:val="28"/>
          <w:highlight w:val="none"/>
          <w:lang w:eastAsia="zh-CN"/>
        </w:rPr>
        <w:t>十</w:t>
      </w:r>
      <w:r>
        <w:rPr>
          <w:rFonts w:ascii="Times New Roman" w:hAnsi="Times New Roman" w:eastAsiaTheme="minorEastAsia"/>
          <w:sz w:val="28"/>
          <w:szCs w:val="28"/>
          <w:highlight w:val="none"/>
        </w:rPr>
        <w:t>、</w:t>
      </w:r>
      <w:r>
        <w:rPr>
          <w:rFonts w:hint="eastAsia" w:ascii="Times New Roman" w:hAnsi="Times New Roman" w:eastAsiaTheme="minorEastAsia"/>
          <w:sz w:val="28"/>
          <w:szCs w:val="28"/>
          <w:highlight w:val="none"/>
          <w:lang w:eastAsia="zh-CN"/>
        </w:rPr>
        <w:t>总体服务方案；</w:t>
      </w:r>
    </w:p>
    <w:p>
      <w:pPr>
        <w:adjustRightInd w:val="0"/>
        <w:snapToGrid w:val="0"/>
        <w:spacing w:line="560" w:lineRule="exact"/>
        <w:ind w:firstLine="560" w:firstLineChars="200"/>
        <w:jc w:val="left"/>
        <w:rPr>
          <w:szCs w:val="21"/>
          <w:highlight w:val="none"/>
        </w:rPr>
      </w:pPr>
      <w:r>
        <w:rPr>
          <w:rFonts w:hint="eastAsia" w:eastAsiaTheme="minorEastAsia"/>
          <w:sz w:val="28"/>
          <w:szCs w:val="28"/>
          <w:highlight w:val="none"/>
        </w:rPr>
        <w:t>十</w:t>
      </w:r>
      <w:r>
        <w:rPr>
          <w:rFonts w:hint="eastAsia" w:eastAsiaTheme="minorEastAsia"/>
          <w:sz w:val="28"/>
          <w:szCs w:val="28"/>
          <w:highlight w:val="none"/>
          <w:lang w:eastAsia="zh-CN"/>
        </w:rPr>
        <w:t>一</w:t>
      </w:r>
      <w:r>
        <w:rPr>
          <w:rFonts w:eastAsiaTheme="minorEastAsia"/>
          <w:sz w:val="28"/>
          <w:szCs w:val="28"/>
          <w:highlight w:val="none"/>
        </w:rPr>
        <w:t>、</w:t>
      </w:r>
      <w:r>
        <w:rPr>
          <w:rFonts w:hint="eastAsia" w:eastAsiaTheme="minorEastAsia"/>
          <w:sz w:val="28"/>
          <w:szCs w:val="28"/>
          <w:highlight w:val="none"/>
          <w:lang w:eastAsia="zh-CN"/>
        </w:rPr>
        <w:t>其他相关实施方案。</w:t>
      </w:r>
      <w:r>
        <w:rPr>
          <w:szCs w:val="21"/>
          <w:highlight w:val="none"/>
        </w:rPr>
        <w:br w:type="page"/>
      </w:r>
    </w:p>
    <w:p>
      <w:pPr>
        <w:pStyle w:val="2"/>
        <w:ind w:firstLine="0" w:firstLineChars="0"/>
        <w:rPr>
          <w:rFonts w:hint="eastAsia" w:eastAsia="宋体"/>
          <w:sz w:val="24"/>
          <w:highlight w:val="none"/>
          <w:lang w:eastAsia="zh-CN"/>
        </w:rPr>
      </w:pPr>
      <w:r>
        <w:rPr>
          <w:rFonts w:hint="eastAsia"/>
          <w:sz w:val="24"/>
          <w:highlight w:val="none"/>
          <w:lang w:eastAsia="zh-CN"/>
        </w:rPr>
        <w:t>附件一</w:t>
      </w:r>
    </w:p>
    <w:p>
      <w:pPr>
        <w:jc w:val="center"/>
        <w:rPr>
          <w:rFonts w:ascii="黑体" w:hAnsi="黑体" w:eastAsia="黑体"/>
          <w:sz w:val="30"/>
          <w:szCs w:val="30"/>
          <w:highlight w:val="none"/>
        </w:rPr>
      </w:pPr>
      <w:r>
        <w:rPr>
          <w:rFonts w:hint="eastAsia" w:ascii="黑体" w:hAnsi="黑体" w:eastAsia="黑体"/>
          <w:sz w:val="30"/>
          <w:szCs w:val="30"/>
          <w:highlight w:val="none"/>
        </w:rPr>
        <w:t>询比</w:t>
      </w:r>
      <w:r>
        <w:rPr>
          <w:rFonts w:hint="eastAsia" w:ascii="黑体" w:hAnsi="黑体" w:eastAsia="黑体"/>
          <w:sz w:val="30"/>
          <w:szCs w:val="30"/>
          <w:highlight w:val="none"/>
          <w:lang w:eastAsia="zh-CN"/>
        </w:rPr>
        <w:t>响应</w:t>
      </w:r>
      <w:r>
        <w:rPr>
          <w:rFonts w:hint="eastAsia" w:ascii="黑体" w:hAnsi="黑体" w:eastAsia="黑体"/>
          <w:sz w:val="30"/>
          <w:szCs w:val="30"/>
          <w:highlight w:val="none"/>
        </w:rPr>
        <w:t>书</w:t>
      </w:r>
    </w:p>
    <w:p>
      <w:pPr>
        <w:pStyle w:val="2"/>
        <w:spacing w:after="0" w:line="400" w:lineRule="exact"/>
        <w:ind w:firstLine="0" w:firstLineChars="0"/>
        <w:rPr>
          <w:highlight w:val="none"/>
        </w:rPr>
      </w:pPr>
    </w:p>
    <w:p>
      <w:pPr>
        <w:pStyle w:val="2"/>
        <w:spacing w:after="0" w:line="400" w:lineRule="exact"/>
        <w:ind w:firstLine="0" w:firstLineChars="0"/>
        <w:rPr>
          <w:highlight w:val="none"/>
        </w:rPr>
      </w:pPr>
      <w:r>
        <w:rPr>
          <w:rFonts w:hint="eastAsia"/>
          <w:highlight w:val="none"/>
        </w:rPr>
        <w:t>致：浙江省铁路发展控股集团有限责任公司</w:t>
      </w:r>
    </w:p>
    <w:p>
      <w:pPr>
        <w:spacing w:line="400" w:lineRule="exact"/>
        <w:ind w:firstLine="420" w:firstLineChars="200"/>
        <w:jc w:val="left"/>
        <w:rPr>
          <w:highlight w:val="none"/>
        </w:rPr>
      </w:pPr>
      <w:r>
        <w:rPr>
          <w:rFonts w:hint="eastAsia"/>
          <w:highlight w:val="none"/>
          <w:u w:val="single"/>
        </w:rPr>
        <w:t>（响应方全称）</w:t>
      </w:r>
      <w:r>
        <w:rPr>
          <w:rFonts w:hint="eastAsia"/>
          <w:highlight w:val="none"/>
        </w:rPr>
        <w:t>授权</w:t>
      </w:r>
      <w:r>
        <w:rPr>
          <w:rFonts w:hint="eastAsia"/>
          <w:highlight w:val="none"/>
          <w:u w:val="single"/>
        </w:rPr>
        <w:t>（全名、职务）</w:t>
      </w:r>
      <w:r>
        <w:rPr>
          <w:rFonts w:hint="eastAsia"/>
          <w:highlight w:val="none"/>
        </w:rPr>
        <w:t>为全权代表，参加贵方组织的浙江省铁路发展控股集团有限责任公司</w:t>
      </w:r>
      <w:r>
        <w:rPr>
          <w:rFonts w:hint="eastAsia"/>
          <w:highlight w:val="none"/>
          <w:lang w:eastAsia="zh-CN"/>
        </w:rPr>
        <w:t>常年法律顾问</w:t>
      </w:r>
      <w:r>
        <w:rPr>
          <w:highlight w:val="none"/>
        </w:rPr>
        <w:t>采购项目</w:t>
      </w:r>
      <w:r>
        <w:rPr>
          <w:rFonts w:hint="eastAsia"/>
          <w:highlight w:val="none"/>
        </w:rPr>
        <w:t>有关活动，并参与询比评审，为此：</w:t>
      </w:r>
    </w:p>
    <w:p>
      <w:pPr>
        <w:pStyle w:val="2"/>
        <w:spacing w:after="0" w:line="400" w:lineRule="exact"/>
        <w:ind w:firstLineChars="200"/>
        <w:rPr>
          <w:highlight w:val="none"/>
        </w:rPr>
      </w:pPr>
      <w:r>
        <w:rPr>
          <w:rFonts w:hint="eastAsia"/>
          <w:highlight w:val="none"/>
        </w:rPr>
        <w:t>1</w:t>
      </w:r>
      <w:r>
        <w:rPr>
          <w:highlight w:val="none"/>
        </w:rPr>
        <w:t>.</w:t>
      </w:r>
      <w:r>
        <w:rPr>
          <w:rFonts w:hint="eastAsia"/>
          <w:highlight w:val="none"/>
        </w:rPr>
        <w:t>提供规定的全部响应文件；</w:t>
      </w:r>
    </w:p>
    <w:p>
      <w:pPr>
        <w:spacing w:line="400" w:lineRule="exact"/>
        <w:ind w:firstLine="420" w:firstLineChars="200"/>
        <w:rPr>
          <w:highlight w:val="none"/>
        </w:rPr>
      </w:pPr>
      <w:r>
        <w:rPr>
          <w:highlight w:val="none"/>
        </w:rPr>
        <w:t>2.</w:t>
      </w:r>
      <w:r>
        <w:rPr>
          <w:rFonts w:hint="eastAsia"/>
          <w:highlight w:val="none"/>
        </w:rPr>
        <w:t>响应方已详细审查全部响应文件，同意采购文件规定的各项要求；</w:t>
      </w:r>
    </w:p>
    <w:p>
      <w:pPr>
        <w:pStyle w:val="2"/>
        <w:spacing w:after="0" w:line="400" w:lineRule="exact"/>
        <w:ind w:firstLineChars="200"/>
        <w:rPr>
          <w:highlight w:val="none"/>
        </w:rPr>
      </w:pPr>
      <w:r>
        <w:rPr>
          <w:rFonts w:hint="eastAsia"/>
          <w:highlight w:val="none"/>
        </w:rPr>
        <w:t>3</w:t>
      </w:r>
      <w:r>
        <w:rPr>
          <w:highlight w:val="none"/>
        </w:rPr>
        <w:t>.</w:t>
      </w:r>
      <w:r>
        <w:rPr>
          <w:rFonts w:hint="eastAsia"/>
          <w:highlight w:val="none"/>
        </w:rPr>
        <w:t>若中选，响应方将按采购文件规定履行责任和义务；</w:t>
      </w:r>
    </w:p>
    <w:p>
      <w:pPr>
        <w:spacing w:line="400" w:lineRule="exact"/>
        <w:ind w:firstLine="420" w:firstLineChars="200"/>
        <w:rPr>
          <w:highlight w:val="none"/>
        </w:rPr>
      </w:pPr>
      <w:r>
        <w:rPr>
          <w:rFonts w:hint="eastAsia"/>
          <w:highlight w:val="none"/>
        </w:rPr>
        <w:t>4</w:t>
      </w:r>
      <w:r>
        <w:rPr>
          <w:highlight w:val="none"/>
        </w:rPr>
        <w:t>.</w:t>
      </w:r>
      <w:r>
        <w:rPr>
          <w:rFonts w:hint="eastAsia"/>
          <w:highlight w:val="none"/>
        </w:rPr>
        <w:t>响应方按照贵方要求提供与其评审有关的一切数据或资料，并保证其真实性、合法性；</w:t>
      </w:r>
    </w:p>
    <w:p>
      <w:pPr>
        <w:pStyle w:val="2"/>
        <w:spacing w:after="0" w:line="400" w:lineRule="exact"/>
        <w:ind w:firstLineChars="200"/>
        <w:rPr>
          <w:highlight w:val="none"/>
        </w:rPr>
      </w:pPr>
      <w:r>
        <w:rPr>
          <w:rFonts w:hint="eastAsia"/>
          <w:highlight w:val="none"/>
        </w:rPr>
        <w:t>5</w:t>
      </w:r>
      <w:r>
        <w:rPr>
          <w:highlight w:val="none"/>
        </w:rPr>
        <w:t>.</w:t>
      </w:r>
      <w:r>
        <w:rPr>
          <w:rFonts w:hint="eastAsia"/>
          <w:highlight w:val="none"/>
        </w:rPr>
        <w:t>我方与本次评审有关的一切正式往来通讯请寄：</w:t>
      </w:r>
    </w:p>
    <w:p>
      <w:pPr>
        <w:spacing w:line="400" w:lineRule="exact"/>
        <w:ind w:firstLine="420" w:firstLineChars="200"/>
        <w:rPr>
          <w:highlight w:val="none"/>
        </w:rPr>
      </w:pPr>
      <w:r>
        <w:rPr>
          <w:rFonts w:hint="eastAsia"/>
          <w:highlight w:val="none"/>
        </w:rPr>
        <w:t>地址：</w:t>
      </w:r>
      <w:r>
        <w:rPr>
          <w:highlight w:val="none"/>
        </w:rPr>
        <w:t xml:space="preserve"> </w:t>
      </w:r>
    </w:p>
    <w:p>
      <w:pPr>
        <w:spacing w:line="400" w:lineRule="exact"/>
        <w:ind w:firstLine="420" w:firstLineChars="200"/>
        <w:rPr>
          <w:highlight w:val="none"/>
        </w:rPr>
      </w:pPr>
      <w:r>
        <w:rPr>
          <w:rFonts w:hint="eastAsia"/>
          <w:highlight w:val="none"/>
        </w:rPr>
        <w:t>邮编：</w:t>
      </w:r>
    </w:p>
    <w:p>
      <w:pPr>
        <w:pStyle w:val="2"/>
        <w:spacing w:after="0" w:line="400" w:lineRule="exact"/>
        <w:ind w:firstLineChars="200"/>
        <w:rPr>
          <w:highlight w:val="none"/>
        </w:rPr>
      </w:pPr>
      <w:r>
        <w:rPr>
          <w:rFonts w:hint="eastAsia"/>
          <w:highlight w:val="none"/>
        </w:rPr>
        <w:t>电话：</w:t>
      </w:r>
    </w:p>
    <w:p>
      <w:pPr>
        <w:pStyle w:val="2"/>
        <w:spacing w:after="0" w:line="400" w:lineRule="exact"/>
        <w:ind w:firstLineChars="200"/>
        <w:rPr>
          <w:highlight w:val="none"/>
        </w:rPr>
      </w:pPr>
      <w:r>
        <w:rPr>
          <w:rFonts w:hint="eastAsia"/>
          <w:highlight w:val="none"/>
        </w:rPr>
        <w:t>传真：</w:t>
      </w:r>
    </w:p>
    <w:p>
      <w:pPr>
        <w:spacing w:line="400" w:lineRule="exact"/>
        <w:ind w:firstLine="420" w:firstLineChars="200"/>
        <w:rPr>
          <w:highlight w:val="none"/>
        </w:rPr>
      </w:pPr>
      <w:r>
        <w:rPr>
          <w:rFonts w:hint="eastAsia"/>
          <w:highlight w:val="none"/>
        </w:rPr>
        <w:t>响应方名称：（公章）</w:t>
      </w:r>
    </w:p>
    <w:p>
      <w:pPr>
        <w:pStyle w:val="2"/>
        <w:spacing w:after="0" w:line="400" w:lineRule="exact"/>
        <w:ind w:firstLineChars="200"/>
        <w:rPr>
          <w:highlight w:val="none"/>
        </w:rPr>
      </w:pPr>
      <w:r>
        <w:rPr>
          <w:rFonts w:hint="eastAsia"/>
          <w:highlight w:val="none"/>
        </w:rPr>
        <w:t>授权代表签字：</w:t>
      </w:r>
    </w:p>
    <w:p>
      <w:pPr>
        <w:spacing w:line="400" w:lineRule="exact"/>
        <w:ind w:firstLine="420" w:firstLineChars="200"/>
        <w:rPr>
          <w:highlight w:val="none"/>
        </w:rPr>
      </w:pPr>
      <w:r>
        <w:rPr>
          <w:rFonts w:hint="eastAsia"/>
          <w:highlight w:val="none"/>
        </w:rPr>
        <w:t xml:space="preserve">响应文件递交日期：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pPr>
        <w:pStyle w:val="2"/>
        <w:spacing w:after="0" w:line="400" w:lineRule="exact"/>
        <w:ind w:left="0" w:leftChars="0" w:firstLine="0" w:firstLineChars="0"/>
        <w:rPr>
          <w:rFonts w:eastAsia="仿宋"/>
          <w:highlight w:val="none"/>
        </w:rPr>
      </w:pPr>
      <w:r>
        <w:rPr>
          <w:rFonts w:eastAsia="仿宋"/>
          <w:highlight w:val="none"/>
        </w:rPr>
        <w:br w:type="page"/>
      </w:r>
    </w:p>
    <w:p>
      <w:pPr>
        <w:tabs>
          <w:tab w:val="left" w:pos="927"/>
        </w:tabs>
        <w:spacing w:after="156" w:afterLines="5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附件二</w:t>
      </w:r>
    </w:p>
    <w:p>
      <w:pPr>
        <w:tabs>
          <w:tab w:val="left" w:pos="927"/>
        </w:tabs>
        <w:spacing w:after="156" w:afterLines="50"/>
        <w:jc w:val="center"/>
        <w:rPr>
          <w:rFonts w:hint="eastAsia" w:eastAsia="方正小标宋简体"/>
          <w:bCs/>
          <w:sz w:val="30"/>
          <w:szCs w:val="30"/>
          <w:highlight w:val="none"/>
          <w:lang w:eastAsia="zh-CN"/>
        </w:rPr>
      </w:pPr>
      <w:r>
        <w:rPr>
          <w:rFonts w:hint="eastAsia" w:eastAsia="方正小标宋简体"/>
          <w:bCs/>
          <w:sz w:val="30"/>
          <w:szCs w:val="30"/>
          <w:highlight w:val="none"/>
          <w:lang w:eastAsia="zh-CN"/>
        </w:rPr>
        <w:t>法定代表人授权书</w:t>
      </w:r>
    </w:p>
    <w:p>
      <w:pPr>
        <w:spacing w:line="400" w:lineRule="exact"/>
        <w:ind w:firstLine="420" w:firstLineChars="200"/>
        <w:rPr>
          <w:rFonts w:ascii="宋体" w:hAnsi="宋体"/>
          <w:szCs w:val="21"/>
          <w:highlight w:val="none"/>
        </w:rPr>
      </w:pPr>
      <w:r>
        <w:rPr>
          <w:rFonts w:ascii="宋体" w:hAnsi="宋体"/>
          <w:szCs w:val="21"/>
          <w:highlight w:val="none"/>
        </w:rPr>
        <w:t>本人</w:t>
      </w:r>
      <w:r>
        <w:rPr>
          <w:rFonts w:ascii="宋体" w:hAnsi="宋体"/>
          <w:szCs w:val="21"/>
          <w:highlight w:val="none"/>
          <w:u w:val="single"/>
        </w:rPr>
        <w:t xml:space="preserve">    （姓名）    </w:t>
      </w:r>
      <w:r>
        <w:rPr>
          <w:rFonts w:ascii="宋体" w:hAnsi="宋体"/>
          <w:szCs w:val="21"/>
          <w:highlight w:val="none"/>
        </w:rPr>
        <w:t>系</w:t>
      </w:r>
      <w:r>
        <w:rPr>
          <w:rFonts w:ascii="宋体" w:hAnsi="宋体"/>
          <w:szCs w:val="21"/>
          <w:highlight w:val="none"/>
          <w:u w:val="single"/>
        </w:rPr>
        <w:t xml:space="preserve">    （供应商名称）    </w:t>
      </w:r>
      <w:r>
        <w:rPr>
          <w:rFonts w:ascii="宋体" w:hAnsi="宋体"/>
          <w:szCs w:val="21"/>
          <w:highlight w:val="none"/>
        </w:rPr>
        <w:t>的法定代表人（单位负责人），现委托</w:t>
      </w:r>
      <w:r>
        <w:rPr>
          <w:rFonts w:ascii="宋体" w:hAnsi="宋体"/>
          <w:szCs w:val="21"/>
          <w:highlight w:val="none"/>
          <w:u w:val="single"/>
        </w:rPr>
        <w:t xml:space="preserve">    （姓名）    </w:t>
      </w:r>
      <w:r>
        <w:rPr>
          <w:rFonts w:ascii="宋体" w:hAnsi="宋体"/>
          <w:szCs w:val="21"/>
          <w:highlight w:val="none"/>
        </w:rPr>
        <w:t>为我方代理人。代理人根据授权，</w:t>
      </w:r>
      <w:r>
        <w:rPr>
          <w:rFonts w:hint="eastAsia" w:ascii="宋体" w:hAnsi="宋体"/>
          <w:szCs w:val="21"/>
          <w:highlight w:val="none"/>
          <w:lang w:eastAsia="zh-CN"/>
        </w:rPr>
        <w:t>参加贵公司常年法律顾问服务采购项目询比评审，其在评审中的一切活动本公司均予承认</w:t>
      </w:r>
      <w:r>
        <w:rPr>
          <w:rFonts w:ascii="宋体" w:hAnsi="宋体"/>
          <w:szCs w:val="21"/>
          <w:highlight w:val="none"/>
        </w:rPr>
        <w:t>。</w:t>
      </w:r>
    </w:p>
    <w:p>
      <w:pPr>
        <w:tabs>
          <w:tab w:val="center" w:pos="3325"/>
          <w:tab w:val="center" w:pos="4201"/>
          <w:tab w:val="center" w:pos="4621"/>
          <w:tab w:val="center" w:pos="6722"/>
        </w:tabs>
        <w:spacing w:line="400" w:lineRule="exact"/>
        <w:ind w:firstLine="1680" w:firstLineChars="800"/>
        <w:rPr>
          <w:rFonts w:ascii="宋体" w:hAnsi="宋体"/>
          <w:szCs w:val="21"/>
          <w:highlight w:val="none"/>
        </w:rPr>
      </w:pPr>
    </w:p>
    <w:p>
      <w:pPr>
        <w:pStyle w:val="2"/>
        <w:rPr>
          <w:rFonts w:ascii="宋体" w:hAnsi="宋体"/>
          <w:szCs w:val="21"/>
          <w:highlight w:val="none"/>
        </w:rPr>
      </w:pPr>
    </w:p>
    <w:p>
      <w:pPr>
        <w:rPr>
          <w:rFonts w:hint="eastAsia" w:ascii="宋体" w:hAnsi="宋体"/>
          <w:szCs w:val="21"/>
          <w:highlight w:val="none"/>
          <w:lang w:val="en-US" w:eastAsia="zh-CN"/>
        </w:rPr>
      </w:pPr>
      <w:r>
        <w:rPr>
          <w:rFonts w:hint="eastAsia" w:ascii="宋体" w:hAnsi="宋体"/>
          <w:szCs w:val="21"/>
          <w:highlight w:val="none"/>
          <w:lang w:val="en-US" w:eastAsia="zh-CN"/>
        </w:rPr>
        <w:t xml:space="preserve">                                                            法定代表人签章：</w:t>
      </w:r>
    </w:p>
    <w:p>
      <w:pPr>
        <w:pStyle w:val="2"/>
        <w:rPr>
          <w:rFonts w:hint="eastAsia" w:ascii="宋体" w:hAnsi="宋体"/>
          <w:szCs w:val="21"/>
          <w:highlight w:val="none"/>
          <w:lang w:val="en-US" w:eastAsia="zh-CN"/>
        </w:rPr>
      </w:pPr>
      <w:r>
        <w:rPr>
          <w:rFonts w:hint="eastAsia" w:ascii="宋体" w:hAnsi="宋体"/>
          <w:szCs w:val="21"/>
          <w:highlight w:val="none"/>
          <w:lang w:val="en-US" w:eastAsia="zh-CN"/>
        </w:rPr>
        <w:t xml:space="preserve">                                                           </w:t>
      </w:r>
    </w:p>
    <w:p>
      <w:pPr>
        <w:pStyle w:val="2"/>
        <w:ind w:firstLine="6720" w:firstLineChars="3200"/>
        <w:rPr>
          <w:rFonts w:hint="eastAsia" w:ascii="宋体" w:hAnsi="宋体"/>
          <w:szCs w:val="21"/>
          <w:highlight w:val="none"/>
          <w:lang w:val="en-US" w:eastAsia="zh-CN"/>
        </w:rPr>
      </w:pPr>
      <w:r>
        <w:rPr>
          <w:rFonts w:hint="eastAsia" w:ascii="宋体" w:hAnsi="宋体"/>
          <w:szCs w:val="21"/>
          <w:highlight w:val="none"/>
          <w:lang w:val="en-US" w:eastAsia="zh-CN"/>
        </w:rPr>
        <w:t xml:space="preserve">   单位公章：</w:t>
      </w:r>
    </w:p>
    <w:p>
      <w:pPr>
        <w:rPr>
          <w:rFonts w:hint="eastAsia" w:ascii="宋体" w:hAnsi="宋体"/>
          <w:szCs w:val="21"/>
          <w:highlight w:val="none"/>
          <w:lang w:val="en-US" w:eastAsia="zh-CN"/>
        </w:rPr>
      </w:pPr>
    </w:p>
    <w:p>
      <w:pPr>
        <w:pStyle w:val="2"/>
        <w:rPr>
          <w:rFonts w:hint="eastAsia"/>
          <w:lang w:val="en-US" w:eastAsia="zh-CN"/>
        </w:rPr>
      </w:pP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年</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月</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日</w:t>
      </w:r>
    </w:p>
    <w:p>
      <w:pPr>
        <w:tabs>
          <w:tab w:val="center" w:pos="3325"/>
          <w:tab w:val="center" w:pos="4201"/>
          <w:tab w:val="center" w:pos="4621"/>
          <w:tab w:val="center" w:pos="6722"/>
        </w:tabs>
        <w:spacing w:line="400" w:lineRule="exact"/>
        <w:ind w:firstLine="1680" w:firstLineChars="800"/>
        <w:rPr>
          <w:rFonts w:ascii="宋体" w:hAnsi="宋体"/>
          <w:szCs w:val="21"/>
          <w:highlight w:val="none"/>
        </w:rPr>
      </w:pPr>
    </w:p>
    <w:p>
      <w:pPr>
        <w:tabs>
          <w:tab w:val="center" w:pos="3325"/>
          <w:tab w:val="center" w:pos="4201"/>
          <w:tab w:val="center" w:pos="4621"/>
          <w:tab w:val="center" w:pos="6722"/>
        </w:tabs>
        <w:spacing w:line="400" w:lineRule="exact"/>
        <w:ind w:firstLine="1680" w:firstLineChars="800"/>
        <w:rPr>
          <w:rFonts w:ascii="宋体" w:hAnsi="宋体"/>
          <w:szCs w:val="21"/>
          <w:highlight w:val="none"/>
        </w:rPr>
      </w:pPr>
    </w:p>
    <w:p>
      <w:pPr>
        <w:rPr>
          <w:rFonts w:hint="eastAsia"/>
          <w:lang w:val="en-US" w:eastAsia="zh-CN"/>
        </w:rPr>
      </w:pPr>
    </w:p>
    <w:p>
      <w:pPr>
        <w:spacing w:line="400" w:lineRule="exact"/>
        <w:ind w:firstLine="420" w:firstLineChars="200"/>
        <w:rPr>
          <w:rFonts w:ascii="宋体" w:hAnsi="宋体"/>
          <w:szCs w:val="21"/>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margin">
                  <wp:posOffset>160020</wp:posOffset>
                </wp:positionH>
                <wp:positionV relativeFrom="paragraph">
                  <wp:posOffset>248920</wp:posOffset>
                </wp:positionV>
                <wp:extent cx="5214620" cy="1760855"/>
                <wp:effectExtent l="0" t="0" r="24130" b="10795"/>
                <wp:wrapNone/>
                <wp:docPr id="10" name="文本框 10"/>
                <wp:cNvGraphicFramePr/>
                <a:graphic xmlns:a="http://schemas.openxmlformats.org/drawingml/2006/main">
                  <a:graphicData uri="http://schemas.microsoft.com/office/word/2010/wordprocessingShape">
                    <wps:wsp>
                      <wps:cNvSpPr txBox="1"/>
                      <wps:spPr>
                        <a:xfrm>
                          <a:off x="0" y="0"/>
                          <a:ext cx="5214783" cy="17609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sz w:val="36"/>
                                <w:szCs w:val="36"/>
                              </w:rPr>
                            </w:pPr>
                          </w:p>
                          <w:p>
                            <w:pPr>
                              <w:jc w:val="center"/>
                              <w:rPr>
                                <w:b/>
                                <w:bCs/>
                                <w:sz w:val="36"/>
                                <w:szCs w:val="36"/>
                              </w:rPr>
                            </w:pPr>
                            <w:r>
                              <w:rPr>
                                <w:rFonts w:hint="eastAsia"/>
                                <w:b/>
                                <w:bCs/>
                                <w:sz w:val="36"/>
                                <w:szCs w:val="36"/>
                              </w:rPr>
                              <w:t>法定代表人身份证扫描件或复印件</w:t>
                            </w:r>
                          </w:p>
                          <w:p>
                            <w:pPr>
                              <w:pStyle w:val="5"/>
                              <w:jc w:val="center"/>
                              <w:rPr>
                                <w:b w:val="0"/>
                                <w:bCs/>
                              </w:rPr>
                            </w:pPr>
                            <w:bookmarkStart w:id="56" w:name="_Toc52356627"/>
                            <w:bookmarkStart w:id="57" w:name="_Toc50446640"/>
                            <w:bookmarkStart w:id="58" w:name="_Toc37771349"/>
                            <w:bookmarkStart w:id="59" w:name="_Toc37769775"/>
                            <w:bookmarkStart w:id="60" w:name="_Toc103178539"/>
                            <w:bookmarkStart w:id="61" w:name="_Toc37769719"/>
                            <w:r>
                              <w:rPr>
                                <w:rFonts w:hint="eastAsia"/>
                                <w:b w:val="0"/>
                              </w:rPr>
                              <w:t>（本证件需直接扫描（正、反面），不允许粘贴）</w:t>
                            </w:r>
                            <w:bookmarkEnd w:id="56"/>
                            <w:bookmarkEnd w:id="57"/>
                            <w:bookmarkEnd w:id="58"/>
                            <w:bookmarkEnd w:id="59"/>
                            <w:bookmarkEnd w:id="60"/>
                            <w:bookmarkEnd w:id="6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pt;margin-top:19.6pt;height:138.65pt;width:410.6pt;mso-position-horizontal-relative:margin;z-index:251665408;mso-width-relative:page;mso-height-relative:page;" fillcolor="#FFFFFF [3201]" filled="t" stroked="t" coordsize="21600,21600" o:gfxdata="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rSIsv1wAAAAkBAAAPAAAAAAAAAAEAIAAAACIAAABk&#10;cnMvZG93bnJldi54bWxQSwECFAAUAAAACACHTuJAioW7n0ACAABsBAAADgAAAAAAAAABACAAAAAm&#10;AQAAZHJzL2Uyb0RvYy54bWxQSwUGAAAAAAYABgBZAQAA2AUAAAAA&#10;">
                <v:fill on="t" focussize="0,0"/>
                <v:stroke weight="0.5pt" color="#000000 [3204]" joinstyle="round"/>
                <v:imagedata o:title=""/>
                <o:lock v:ext="edit" aspectratio="f"/>
                <v:textbox>
                  <w:txbxContent>
                    <w:p>
                      <w:pPr>
                        <w:jc w:val="center"/>
                        <w:rPr>
                          <w:b/>
                          <w:bCs/>
                          <w:sz w:val="36"/>
                          <w:szCs w:val="36"/>
                        </w:rPr>
                      </w:pPr>
                    </w:p>
                    <w:p>
                      <w:pPr>
                        <w:jc w:val="center"/>
                        <w:rPr>
                          <w:b/>
                          <w:bCs/>
                          <w:sz w:val="36"/>
                          <w:szCs w:val="36"/>
                        </w:rPr>
                      </w:pPr>
                      <w:r>
                        <w:rPr>
                          <w:rFonts w:hint="eastAsia"/>
                          <w:b/>
                          <w:bCs/>
                          <w:sz w:val="36"/>
                          <w:szCs w:val="36"/>
                        </w:rPr>
                        <w:t>法定代表人身份证扫描件或复印件</w:t>
                      </w:r>
                    </w:p>
                    <w:p>
                      <w:pPr>
                        <w:pStyle w:val="5"/>
                        <w:jc w:val="center"/>
                        <w:rPr>
                          <w:b w:val="0"/>
                          <w:bCs/>
                        </w:rPr>
                      </w:pPr>
                      <w:bookmarkStart w:id="56" w:name="_Toc52356627"/>
                      <w:bookmarkStart w:id="57" w:name="_Toc50446640"/>
                      <w:bookmarkStart w:id="58" w:name="_Toc37771349"/>
                      <w:bookmarkStart w:id="59" w:name="_Toc37769775"/>
                      <w:bookmarkStart w:id="60" w:name="_Toc103178539"/>
                      <w:bookmarkStart w:id="61" w:name="_Toc37769719"/>
                      <w:r>
                        <w:rPr>
                          <w:rFonts w:hint="eastAsia"/>
                          <w:b w:val="0"/>
                        </w:rPr>
                        <w:t>（本证件需直接扫描（正、反面），不允许粘贴）</w:t>
                      </w:r>
                      <w:bookmarkEnd w:id="56"/>
                      <w:bookmarkEnd w:id="57"/>
                      <w:bookmarkEnd w:id="58"/>
                      <w:bookmarkEnd w:id="59"/>
                      <w:bookmarkEnd w:id="60"/>
                      <w:bookmarkEnd w:id="61"/>
                    </w:p>
                  </w:txbxContent>
                </v:textbox>
              </v:shape>
            </w:pict>
          </mc:Fallback>
        </mc:AlternateContent>
      </w:r>
      <w:r>
        <w:rPr>
          <w:rFonts w:ascii="宋体" w:hAnsi="宋体"/>
          <w:szCs w:val="21"/>
          <w:highlight w:val="none"/>
        </w:rPr>
        <w:t>附：法定代表人（单位负责人）身份证复印件及委托代理人身份证复印件</w:t>
      </w:r>
    </w:p>
    <w:p>
      <w:pPr>
        <w:pStyle w:val="2"/>
        <w:spacing w:line="400" w:lineRule="exact"/>
        <w:ind w:firstLine="210"/>
        <w:rPr>
          <w:rFonts w:ascii="Times New Roman" w:hAnsi="Times New Roman"/>
          <w:highlight w:val="none"/>
        </w:rPr>
      </w:pPr>
    </w:p>
    <w:p>
      <w:pPr>
        <w:adjustRightInd w:val="0"/>
        <w:snapToGrid w:val="0"/>
        <w:jc w:val="left"/>
      </w:pPr>
      <w:r>
        <w:rPr>
          <w:highlight w:val="none"/>
        </w:rPr>
        <mc:AlternateContent>
          <mc:Choice Requires="wps">
            <w:drawing>
              <wp:anchor distT="0" distB="0" distL="114300" distR="114300" simplePos="0" relativeHeight="251666432" behindDoc="0" locked="0" layoutInCell="1" allowOverlap="1">
                <wp:simplePos x="0" y="0"/>
                <wp:positionH relativeFrom="margin">
                  <wp:posOffset>159385</wp:posOffset>
                </wp:positionH>
                <wp:positionV relativeFrom="paragraph">
                  <wp:posOffset>1498600</wp:posOffset>
                </wp:positionV>
                <wp:extent cx="5214620" cy="1737995"/>
                <wp:effectExtent l="0" t="0" r="24130" b="14605"/>
                <wp:wrapNone/>
                <wp:docPr id="11" name="文本框 11"/>
                <wp:cNvGraphicFramePr/>
                <a:graphic xmlns:a="http://schemas.openxmlformats.org/drawingml/2006/main">
                  <a:graphicData uri="http://schemas.microsoft.com/office/word/2010/wordprocessingShape">
                    <wps:wsp>
                      <wps:cNvSpPr txBox="1"/>
                      <wps:spPr>
                        <a:xfrm>
                          <a:off x="0" y="0"/>
                          <a:ext cx="5214797" cy="17382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sz w:val="36"/>
                                <w:szCs w:val="36"/>
                              </w:rPr>
                            </w:pPr>
                          </w:p>
                          <w:p>
                            <w:pPr>
                              <w:jc w:val="center"/>
                              <w:rPr>
                                <w:b/>
                                <w:bCs/>
                                <w:sz w:val="36"/>
                                <w:szCs w:val="36"/>
                              </w:rPr>
                            </w:pPr>
                            <w:r>
                              <w:rPr>
                                <w:rFonts w:hint="eastAsia"/>
                                <w:b/>
                                <w:bCs/>
                                <w:sz w:val="36"/>
                                <w:szCs w:val="36"/>
                              </w:rPr>
                              <w:t>委托代理人身份证扫描件或复印件</w:t>
                            </w:r>
                          </w:p>
                          <w:p>
                            <w:pPr>
                              <w:pStyle w:val="5"/>
                              <w:jc w:val="center"/>
                              <w:rPr>
                                <w:b w:val="0"/>
                                <w:bCs/>
                              </w:rPr>
                            </w:pPr>
                            <w:bookmarkStart w:id="62" w:name="_Toc103178540"/>
                            <w:bookmarkStart w:id="63" w:name="_Toc52356628"/>
                            <w:bookmarkStart w:id="64" w:name="_Toc50446641"/>
                            <w:bookmarkStart w:id="65" w:name="_Toc37771350"/>
                            <w:bookmarkStart w:id="66" w:name="_Toc37769776"/>
                            <w:bookmarkStart w:id="67" w:name="_Toc37769720"/>
                            <w:r>
                              <w:rPr>
                                <w:rFonts w:hint="eastAsia"/>
                                <w:b w:val="0"/>
                              </w:rPr>
                              <w:t>（本证件需直接扫描（正、反面），不允许粘贴）</w:t>
                            </w:r>
                            <w:bookmarkEnd w:id="62"/>
                            <w:bookmarkEnd w:id="63"/>
                            <w:bookmarkEnd w:id="64"/>
                            <w:bookmarkEnd w:id="65"/>
                            <w:bookmarkEnd w:id="66"/>
                            <w:bookmarkEnd w:id="67"/>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5pt;margin-top:118pt;height:136.85pt;width:410.6pt;mso-position-horizontal-relative:margin;z-index:251666432;mso-width-relative:page;mso-height-relative:page;" fillcolor="#FFFFFF [3201]" filled="t" stroked="t" coordsize="21600,21600" o:gfxdata="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SXcFfXAAAACgEAAA8AAAAAAAAAAQAgAAAAIgAAAGRy&#10;cy9kb3ducmV2LnhtbFBLAQIUABQAAAAIAIdO4kAJih84PwIAAGwEAAAOAAAAAAAAAAEAIAAAACYB&#10;AABkcnMvZTJvRG9jLnhtbFBLBQYAAAAABgAGAFkBAADXBQAAAAA=&#10;">
                <v:fill on="t" focussize="0,0"/>
                <v:stroke weight="0.5pt" color="#000000 [3204]" joinstyle="round"/>
                <v:imagedata o:title=""/>
                <o:lock v:ext="edit" aspectratio="f"/>
                <v:textbox>
                  <w:txbxContent>
                    <w:p>
                      <w:pPr>
                        <w:jc w:val="center"/>
                        <w:rPr>
                          <w:b/>
                          <w:bCs/>
                          <w:sz w:val="36"/>
                          <w:szCs w:val="36"/>
                        </w:rPr>
                      </w:pPr>
                    </w:p>
                    <w:p>
                      <w:pPr>
                        <w:jc w:val="center"/>
                        <w:rPr>
                          <w:b/>
                          <w:bCs/>
                          <w:sz w:val="36"/>
                          <w:szCs w:val="36"/>
                        </w:rPr>
                      </w:pPr>
                      <w:r>
                        <w:rPr>
                          <w:rFonts w:hint="eastAsia"/>
                          <w:b/>
                          <w:bCs/>
                          <w:sz w:val="36"/>
                          <w:szCs w:val="36"/>
                        </w:rPr>
                        <w:t>委托代理人身份证扫描件或复印件</w:t>
                      </w:r>
                    </w:p>
                    <w:p>
                      <w:pPr>
                        <w:pStyle w:val="5"/>
                        <w:jc w:val="center"/>
                        <w:rPr>
                          <w:b w:val="0"/>
                          <w:bCs/>
                        </w:rPr>
                      </w:pPr>
                      <w:bookmarkStart w:id="62" w:name="_Toc103178540"/>
                      <w:bookmarkStart w:id="63" w:name="_Toc52356628"/>
                      <w:bookmarkStart w:id="64" w:name="_Toc50446641"/>
                      <w:bookmarkStart w:id="65" w:name="_Toc37771350"/>
                      <w:bookmarkStart w:id="66" w:name="_Toc37769776"/>
                      <w:bookmarkStart w:id="67" w:name="_Toc37769720"/>
                      <w:r>
                        <w:rPr>
                          <w:rFonts w:hint="eastAsia"/>
                          <w:b w:val="0"/>
                        </w:rPr>
                        <w:t>（本证件需直接扫描（正、反面），不允许粘贴）</w:t>
                      </w:r>
                      <w:bookmarkEnd w:id="62"/>
                      <w:bookmarkEnd w:id="63"/>
                      <w:bookmarkEnd w:id="64"/>
                      <w:bookmarkEnd w:id="65"/>
                      <w:bookmarkEnd w:id="66"/>
                      <w:bookmarkEnd w:id="67"/>
                    </w:p>
                  </w:txbxContent>
                </v:textbox>
              </v:shape>
            </w:pict>
          </mc:Fallback>
        </mc:AlternateContent>
      </w:r>
      <w:r>
        <w:rPr>
          <w:rFonts w:asciiTheme="minorEastAsia" w:hAnsiTheme="minorEastAsia" w:eastAsiaTheme="minorEastAsia"/>
          <w:sz w:val="24"/>
          <w:highlight w:val="none"/>
        </w:rPr>
        <w:br w:type="page"/>
      </w:r>
    </w:p>
    <w:p>
      <w:pPr>
        <w:adjustRightInd w:val="0"/>
        <w:snapToGrid w:val="0"/>
        <w:spacing w:line="560" w:lineRule="exact"/>
        <w:jc w:val="lef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附件三</w:t>
      </w:r>
    </w:p>
    <w:p>
      <w:pPr>
        <w:adjustRightInd w:val="0"/>
        <w:snapToGrid w:val="0"/>
        <w:jc w:val="center"/>
        <w:rPr>
          <w:rFonts w:ascii="黑体" w:hAnsi="黑体" w:eastAsia="黑体"/>
          <w:bCs/>
          <w:sz w:val="30"/>
          <w:szCs w:val="30"/>
          <w:highlight w:val="none"/>
          <w:lang w:val="zh-CN"/>
        </w:rPr>
      </w:pPr>
      <w:r>
        <w:rPr>
          <w:rFonts w:ascii="黑体" w:hAnsi="黑体" w:eastAsia="黑体"/>
          <w:bCs/>
          <w:sz w:val="30"/>
          <w:szCs w:val="30"/>
          <w:highlight w:val="none"/>
          <w:lang w:val="zh-CN"/>
        </w:rPr>
        <w:t>报价一览表</w:t>
      </w:r>
    </w:p>
    <w:p>
      <w:pPr>
        <w:adjustRightInd w:val="0"/>
        <w:snapToGrid w:val="0"/>
        <w:ind w:right="280"/>
        <w:jc w:val="right"/>
        <w:rPr>
          <w:rFonts w:eastAsiaTheme="minorEastAsia"/>
          <w:kern w:val="0"/>
          <w:szCs w:val="21"/>
          <w:highlight w:val="none"/>
        </w:rPr>
      </w:pPr>
      <w:r>
        <w:rPr>
          <w:rFonts w:eastAsiaTheme="minorEastAsia"/>
          <w:b/>
          <w:szCs w:val="21"/>
          <w:highlight w:val="none"/>
        </w:rPr>
        <w:t xml:space="preserve">         </w:t>
      </w:r>
      <w:r>
        <w:rPr>
          <w:rFonts w:eastAsiaTheme="minorEastAsia"/>
          <w:kern w:val="0"/>
          <w:szCs w:val="21"/>
          <w:highlight w:val="none"/>
        </w:rPr>
        <w:t>（价格单位：人民币 元）</w:t>
      </w:r>
    </w:p>
    <w:tbl>
      <w:tblPr>
        <w:tblStyle w:val="25"/>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2404"/>
        <w:gridCol w:w="1843"/>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710" w:type="dxa"/>
            <w:vAlign w:val="center"/>
          </w:tcPr>
          <w:p>
            <w:pPr>
              <w:spacing w:line="360" w:lineRule="auto"/>
              <w:jc w:val="center"/>
              <w:rPr>
                <w:rFonts w:eastAsiaTheme="minorEastAsia"/>
                <w:szCs w:val="21"/>
                <w:highlight w:val="none"/>
              </w:rPr>
            </w:pPr>
            <w:r>
              <w:rPr>
                <w:rFonts w:eastAsiaTheme="minorEastAsia"/>
                <w:szCs w:val="21"/>
                <w:highlight w:val="none"/>
              </w:rPr>
              <w:t>序号</w:t>
            </w:r>
          </w:p>
        </w:tc>
        <w:tc>
          <w:tcPr>
            <w:tcW w:w="2126" w:type="dxa"/>
            <w:vAlign w:val="center"/>
          </w:tcPr>
          <w:p>
            <w:pPr>
              <w:spacing w:line="360" w:lineRule="auto"/>
              <w:jc w:val="center"/>
              <w:rPr>
                <w:rFonts w:eastAsiaTheme="minorEastAsia"/>
                <w:szCs w:val="21"/>
                <w:highlight w:val="none"/>
              </w:rPr>
            </w:pPr>
            <w:r>
              <w:rPr>
                <w:rFonts w:eastAsiaTheme="minorEastAsia"/>
                <w:szCs w:val="21"/>
                <w:highlight w:val="none"/>
              </w:rPr>
              <w:t>费 用 名 称</w:t>
            </w:r>
          </w:p>
        </w:tc>
        <w:tc>
          <w:tcPr>
            <w:tcW w:w="2404" w:type="dxa"/>
            <w:vAlign w:val="center"/>
          </w:tcPr>
          <w:p>
            <w:pPr>
              <w:spacing w:line="360" w:lineRule="auto"/>
              <w:jc w:val="center"/>
              <w:rPr>
                <w:rFonts w:eastAsiaTheme="minorEastAsia"/>
                <w:szCs w:val="21"/>
                <w:highlight w:val="none"/>
              </w:rPr>
            </w:pPr>
            <w:r>
              <w:rPr>
                <w:rFonts w:eastAsiaTheme="minorEastAsia"/>
                <w:szCs w:val="21"/>
                <w:highlight w:val="none"/>
                <w:lang w:eastAsia="zh-Hans"/>
              </w:rPr>
              <w:t>报价</w:t>
            </w:r>
          </w:p>
        </w:tc>
        <w:tc>
          <w:tcPr>
            <w:tcW w:w="1843" w:type="dxa"/>
            <w:vAlign w:val="center"/>
          </w:tcPr>
          <w:p>
            <w:pPr>
              <w:spacing w:line="360" w:lineRule="auto"/>
              <w:jc w:val="center"/>
              <w:rPr>
                <w:rFonts w:eastAsiaTheme="minorEastAsia"/>
                <w:szCs w:val="21"/>
                <w:highlight w:val="none"/>
              </w:rPr>
            </w:pPr>
            <w:r>
              <w:rPr>
                <w:rFonts w:eastAsiaTheme="minorEastAsia"/>
                <w:szCs w:val="21"/>
                <w:highlight w:val="none"/>
                <w:lang w:eastAsia="zh-Hans"/>
              </w:rPr>
              <w:t>税</w:t>
            </w:r>
            <w:r>
              <w:rPr>
                <w:rFonts w:eastAsiaTheme="minorEastAsia"/>
                <w:szCs w:val="21"/>
                <w:highlight w:val="none"/>
              </w:rPr>
              <w:t>率（%）</w:t>
            </w:r>
          </w:p>
        </w:tc>
        <w:tc>
          <w:tcPr>
            <w:tcW w:w="2274" w:type="dxa"/>
            <w:vAlign w:val="center"/>
          </w:tcPr>
          <w:p>
            <w:pPr>
              <w:spacing w:line="360" w:lineRule="auto"/>
              <w:jc w:val="center"/>
              <w:rPr>
                <w:rFonts w:eastAsiaTheme="minorEastAsia"/>
                <w:szCs w:val="21"/>
                <w:highlight w:val="none"/>
              </w:rPr>
            </w:pPr>
            <w:r>
              <w:rPr>
                <w:rFonts w:eastAsiaTheme="minor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710" w:type="dxa"/>
            <w:vAlign w:val="center"/>
          </w:tcPr>
          <w:p>
            <w:pPr>
              <w:spacing w:line="360" w:lineRule="auto"/>
              <w:jc w:val="center"/>
              <w:rPr>
                <w:rFonts w:eastAsiaTheme="minorEastAsia"/>
                <w:szCs w:val="21"/>
                <w:highlight w:val="none"/>
              </w:rPr>
            </w:pPr>
            <w:r>
              <w:rPr>
                <w:rFonts w:eastAsiaTheme="minorEastAsia"/>
                <w:szCs w:val="21"/>
                <w:highlight w:val="none"/>
              </w:rPr>
              <w:t>1</w:t>
            </w:r>
          </w:p>
        </w:tc>
        <w:tc>
          <w:tcPr>
            <w:tcW w:w="2126" w:type="dxa"/>
            <w:vAlign w:val="center"/>
          </w:tcPr>
          <w:p>
            <w:pPr>
              <w:pStyle w:val="45"/>
              <w:spacing w:line="360" w:lineRule="auto"/>
              <w:jc w:val="left"/>
              <w:rPr>
                <w:rFonts w:eastAsiaTheme="minorEastAsia"/>
                <w:szCs w:val="21"/>
                <w:highlight w:val="none"/>
              </w:rPr>
            </w:pPr>
            <w:r>
              <w:rPr>
                <w:rFonts w:eastAsiaTheme="minorEastAsia"/>
                <w:color w:val="000000"/>
                <w:szCs w:val="21"/>
                <w:highlight w:val="none"/>
              </w:rPr>
              <w:t xml:space="preserve">浙江省铁路发展控股集团有限责任公司 </w:t>
            </w:r>
            <w:r>
              <w:rPr>
                <w:rFonts w:hint="eastAsia" w:eastAsiaTheme="minorEastAsia"/>
                <w:color w:val="000000"/>
                <w:szCs w:val="21"/>
                <w:highlight w:val="none"/>
                <w:lang w:eastAsia="zh-CN"/>
              </w:rPr>
              <w:t>常年法律服务</w:t>
            </w:r>
            <w:r>
              <w:rPr>
                <w:rFonts w:eastAsiaTheme="minorEastAsia"/>
                <w:color w:val="000000"/>
                <w:szCs w:val="21"/>
                <w:highlight w:val="none"/>
              </w:rPr>
              <w:t>采购项目费用</w:t>
            </w:r>
          </w:p>
        </w:tc>
        <w:tc>
          <w:tcPr>
            <w:tcW w:w="2404" w:type="dxa"/>
            <w:vAlign w:val="center"/>
          </w:tcPr>
          <w:p>
            <w:pPr>
              <w:autoSpaceDE w:val="0"/>
              <w:autoSpaceDN w:val="0"/>
              <w:adjustRightInd w:val="0"/>
              <w:snapToGrid w:val="0"/>
              <w:spacing w:before="31" w:beforeLines="10" w:after="93" w:afterLines="30" w:line="400" w:lineRule="atLeast"/>
              <w:textAlignment w:val="bottom"/>
              <w:rPr>
                <w:rFonts w:eastAsiaTheme="minorEastAsia"/>
                <w:bCs/>
                <w:szCs w:val="21"/>
                <w:highlight w:val="none"/>
              </w:rPr>
            </w:pPr>
          </w:p>
        </w:tc>
        <w:tc>
          <w:tcPr>
            <w:tcW w:w="1843" w:type="dxa"/>
            <w:vAlign w:val="center"/>
          </w:tcPr>
          <w:p>
            <w:pPr>
              <w:spacing w:line="360" w:lineRule="auto"/>
              <w:jc w:val="center"/>
              <w:rPr>
                <w:rFonts w:eastAsiaTheme="minorEastAsia"/>
                <w:szCs w:val="21"/>
                <w:highlight w:val="none"/>
              </w:rPr>
            </w:pPr>
            <w:r>
              <w:rPr>
                <w:rFonts w:hint="eastAsia" w:eastAsiaTheme="minorEastAsia"/>
                <w:szCs w:val="21"/>
                <w:highlight w:val="none"/>
                <w:lang w:val="en-US" w:eastAsia="zh-CN"/>
              </w:rPr>
              <w:t>6</w:t>
            </w:r>
            <w:r>
              <w:rPr>
                <w:rFonts w:eastAsiaTheme="minorEastAsia"/>
                <w:szCs w:val="21"/>
                <w:highlight w:val="none"/>
              </w:rPr>
              <w:t>%</w:t>
            </w:r>
          </w:p>
        </w:tc>
        <w:tc>
          <w:tcPr>
            <w:tcW w:w="2274"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highlight w:val="none"/>
              </w:rPr>
            </w:pPr>
          </w:p>
        </w:tc>
      </w:tr>
    </w:tbl>
    <w:p>
      <w:pPr>
        <w:adjustRightInd w:val="0"/>
        <w:snapToGrid w:val="0"/>
        <w:spacing w:line="480" w:lineRule="atLeast"/>
        <w:rPr>
          <w:rFonts w:eastAsiaTheme="minorEastAsia"/>
          <w:szCs w:val="21"/>
          <w:highlight w:val="none"/>
        </w:rPr>
      </w:pPr>
      <w:r>
        <w:rPr>
          <w:rFonts w:eastAsiaTheme="minorEastAsia"/>
          <w:szCs w:val="21"/>
          <w:highlight w:val="none"/>
        </w:rPr>
        <w:t>报价说明：</w:t>
      </w:r>
    </w:p>
    <w:p>
      <w:pPr>
        <w:numPr>
          <w:ilvl w:val="0"/>
          <w:numId w:val="2"/>
        </w:numPr>
        <w:adjustRightInd w:val="0"/>
        <w:snapToGrid w:val="0"/>
        <w:spacing w:line="480" w:lineRule="atLeast"/>
        <w:rPr>
          <w:rFonts w:eastAsiaTheme="minorEastAsia"/>
          <w:szCs w:val="21"/>
          <w:highlight w:val="none"/>
        </w:rPr>
      </w:pPr>
      <w:r>
        <w:rPr>
          <w:rFonts w:eastAsiaTheme="minorEastAsia"/>
          <w:szCs w:val="21"/>
          <w:highlight w:val="none"/>
        </w:rPr>
        <w:t>此表不得自行增减内容，不提供此表格将被视为没有实质性响应采购文件。</w:t>
      </w:r>
    </w:p>
    <w:p>
      <w:pPr>
        <w:numPr>
          <w:ilvl w:val="0"/>
          <w:numId w:val="2"/>
        </w:numPr>
        <w:adjustRightInd w:val="0"/>
        <w:snapToGrid w:val="0"/>
        <w:spacing w:line="480" w:lineRule="atLeast"/>
        <w:rPr>
          <w:rFonts w:eastAsiaTheme="minorEastAsia"/>
          <w:bCs/>
          <w:sz w:val="18"/>
          <w:szCs w:val="18"/>
          <w:highlight w:val="none"/>
        </w:rPr>
      </w:pPr>
      <w:r>
        <w:rPr>
          <w:rFonts w:eastAsiaTheme="minorEastAsia"/>
          <w:bCs/>
          <w:szCs w:val="21"/>
          <w:highlight w:val="none"/>
        </w:rPr>
        <w:t>需开具等额增值税专用发票，税率</w:t>
      </w:r>
      <w:r>
        <w:rPr>
          <w:rFonts w:hint="eastAsia" w:eastAsiaTheme="minorEastAsia"/>
          <w:bCs/>
          <w:szCs w:val="21"/>
          <w:highlight w:val="none"/>
          <w:lang w:val="en-US" w:eastAsia="zh-CN"/>
        </w:rPr>
        <w:t>6</w:t>
      </w:r>
      <w:r>
        <w:rPr>
          <w:rFonts w:eastAsiaTheme="minorEastAsia"/>
          <w:bCs/>
          <w:szCs w:val="21"/>
          <w:highlight w:val="none"/>
        </w:rPr>
        <w:t>%。</w:t>
      </w:r>
    </w:p>
    <w:p>
      <w:pPr>
        <w:spacing w:line="360" w:lineRule="auto"/>
        <w:ind w:firstLine="240"/>
        <w:jc w:val="left"/>
        <w:rPr>
          <w:rFonts w:eastAsia="仿宋"/>
          <w:sz w:val="24"/>
          <w:highlight w:val="none"/>
        </w:rPr>
      </w:pPr>
    </w:p>
    <w:p>
      <w:pPr>
        <w:rPr>
          <w:rFonts w:eastAsia="仿宋"/>
          <w:spacing w:val="20"/>
          <w:highlight w:val="none"/>
        </w:rPr>
      </w:pPr>
    </w:p>
    <w:p>
      <w:pPr>
        <w:pStyle w:val="2"/>
        <w:ind w:firstLine="210"/>
        <w:rPr>
          <w:rFonts w:ascii="Times New Roman" w:hAnsi="Times New Roman"/>
          <w:highlight w:val="none"/>
        </w:rPr>
      </w:pPr>
    </w:p>
    <w:p>
      <w:pPr>
        <w:rPr>
          <w:highlight w:val="none"/>
        </w:rPr>
      </w:pPr>
    </w:p>
    <w:p>
      <w:pPr>
        <w:pStyle w:val="2"/>
        <w:ind w:firstLine="240"/>
        <w:rPr>
          <w:rFonts w:ascii="Times New Roman" w:hAnsi="Times New Roman"/>
          <w:sz w:val="24"/>
          <w:szCs w:val="32"/>
          <w:highlight w:val="none"/>
        </w:rPr>
      </w:pPr>
    </w:p>
    <w:p>
      <w:pPr>
        <w:spacing w:line="400" w:lineRule="exact"/>
        <w:ind w:firstLine="3780" w:firstLineChars="180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供应商：</w:t>
      </w:r>
      <w:r>
        <w:rPr>
          <w:rFonts w:asciiTheme="minorEastAsia" w:hAnsiTheme="minorEastAsia" w:eastAsiaTheme="minorEastAsia"/>
          <w:szCs w:val="21"/>
          <w:highlight w:val="none"/>
          <w:u w:val="single"/>
        </w:rPr>
        <w:t xml:space="preserve">                     （盖单位章）</w:t>
      </w:r>
    </w:p>
    <w:p>
      <w:pPr>
        <w:pStyle w:val="2"/>
        <w:ind w:firstLine="210"/>
        <w:rPr>
          <w:rFonts w:asciiTheme="minorEastAsia" w:hAnsiTheme="minorEastAsia" w:eastAsiaTheme="minorEastAsia"/>
          <w:szCs w:val="21"/>
          <w:highlight w:val="none"/>
        </w:rPr>
      </w:pPr>
    </w:p>
    <w:p>
      <w:pPr>
        <w:spacing w:line="400" w:lineRule="exact"/>
        <w:ind w:firstLine="3150" w:firstLineChars="150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法定代表人或授权委托人：</w:t>
      </w:r>
      <w:r>
        <w:rPr>
          <w:rFonts w:asciiTheme="minorEastAsia" w:hAnsiTheme="minorEastAsia" w:eastAsiaTheme="minorEastAsia"/>
          <w:szCs w:val="21"/>
          <w:highlight w:val="none"/>
          <w:u w:val="single"/>
        </w:rPr>
        <w:t xml:space="preserve">          （签字或盖章）</w:t>
      </w:r>
    </w:p>
    <w:p>
      <w:pPr>
        <w:spacing w:line="400" w:lineRule="exact"/>
        <w:rPr>
          <w:rFonts w:asciiTheme="minorEastAsia" w:hAnsiTheme="minorEastAsia" w:eastAsiaTheme="minorEastAsia"/>
          <w:szCs w:val="21"/>
          <w:highlight w:val="none"/>
        </w:rPr>
      </w:pPr>
    </w:p>
    <w:p>
      <w:pPr>
        <w:spacing w:line="400" w:lineRule="exact"/>
        <w:ind w:firstLine="3826" w:firstLineChars="1822"/>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日  期：</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年</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月</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日</w:t>
      </w:r>
    </w:p>
    <w:p>
      <w:pPr>
        <w:spacing w:line="360" w:lineRule="auto"/>
        <w:ind w:right="-11" w:firstLine="180" w:firstLineChars="100"/>
        <w:rPr>
          <w:rFonts w:asciiTheme="minorEastAsia" w:hAnsiTheme="minorEastAsia" w:eastAsiaTheme="minorEastAsia"/>
          <w:sz w:val="18"/>
          <w:szCs w:val="18"/>
          <w:highlight w:val="none"/>
        </w:rPr>
      </w:pPr>
    </w:p>
    <w:p>
      <w:pPr>
        <w:adjustRightInd w:val="0"/>
        <w:snapToGrid w:val="0"/>
        <w:ind w:left="360"/>
        <w:rPr>
          <w:rFonts w:eastAsia="仿宋"/>
          <w:sz w:val="24"/>
          <w:highlight w:val="none"/>
        </w:rPr>
        <w:sectPr>
          <w:pgSz w:w="11907" w:h="16840"/>
          <w:pgMar w:top="1361" w:right="1474" w:bottom="1361" w:left="1588" w:header="680" w:footer="680" w:gutter="0"/>
          <w:pgNumType w:fmt="numberInDash"/>
          <w:cols w:space="720" w:num="1"/>
          <w:titlePg/>
          <w:docGrid w:type="lines" w:linePitch="312" w:charSpace="0"/>
        </w:sectPr>
      </w:pPr>
      <w:r>
        <w:rPr>
          <w:rFonts w:hint="eastAsia" w:eastAsia="仿宋"/>
          <w:sz w:val="24"/>
          <w:highlight w:val="none"/>
        </w:rPr>
        <w:t xml:space="preserve"> </w:t>
      </w:r>
    </w:p>
    <w:p>
      <w:pPr>
        <w:adjustRightInd w:val="0"/>
        <w:snapToGrid w:val="0"/>
        <w:spacing w:before="156" w:beforeLines="50" w:after="156" w:afterLines="50"/>
        <w:jc w:val="center"/>
        <w:rPr>
          <w:rFonts w:eastAsia="黑体"/>
          <w:sz w:val="30"/>
          <w:szCs w:val="30"/>
          <w:highlight w:val="none"/>
        </w:rPr>
      </w:pPr>
      <w:r>
        <w:rPr>
          <w:rFonts w:eastAsia="黑体"/>
          <w:sz w:val="30"/>
          <w:szCs w:val="30"/>
          <w:highlight w:val="none"/>
        </w:rPr>
        <w:t>商务/技术偏差表</w:t>
      </w:r>
    </w:p>
    <w:tbl>
      <w:tblPr>
        <w:tblStyle w:val="25"/>
        <w:tblW w:w="8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93"/>
        <w:gridCol w:w="2582"/>
        <w:gridCol w:w="900"/>
        <w:gridCol w:w="2668"/>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Merge w:val="restart"/>
            <w:vAlign w:val="center"/>
          </w:tcPr>
          <w:p>
            <w:pPr>
              <w:adjustRightInd w:val="0"/>
              <w:snapToGrid w:val="0"/>
              <w:jc w:val="left"/>
              <w:rPr>
                <w:szCs w:val="21"/>
                <w:highlight w:val="none"/>
              </w:rPr>
            </w:pPr>
            <w:r>
              <w:rPr>
                <w:szCs w:val="21"/>
                <w:highlight w:val="none"/>
              </w:rPr>
              <w:t>序号</w:t>
            </w:r>
          </w:p>
        </w:tc>
        <w:tc>
          <w:tcPr>
            <w:tcW w:w="3575" w:type="dxa"/>
            <w:gridSpan w:val="2"/>
            <w:vAlign w:val="center"/>
          </w:tcPr>
          <w:p>
            <w:pPr>
              <w:widowControl/>
              <w:adjustRightInd w:val="0"/>
              <w:snapToGrid w:val="0"/>
              <w:jc w:val="center"/>
              <w:rPr>
                <w:szCs w:val="21"/>
                <w:highlight w:val="none"/>
              </w:rPr>
            </w:pPr>
            <w:r>
              <w:rPr>
                <w:szCs w:val="21"/>
                <w:highlight w:val="none"/>
              </w:rPr>
              <w:t>采购文件</w:t>
            </w:r>
          </w:p>
        </w:tc>
        <w:tc>
          <w:tcPr>
            <w:tcW w:w="3568" w:type="dxa"/>
            <w:gridSpan w:val="2"/>
            <w:vAlign w:val="center"/>
          </w:tcPr>
          <w:p>
            <w:pPr>
              <w:adjustRightInd w:val="0"/>
              <w:snapToGrid w:val="0"/>
              <w:jc w:val="center"/>
              <w:rPr>
                <w:szCs w:val="21"/>
                <w:highlight w:val="none"/>
              </w:rPr>
            </w:pPr>
            <w:r>
              <w:rPr>
                <w:szCs w:val="21"/>
                <w:highlight w:val="none"/>
              </w:rPr>
              <w:t>响应文件</w:t>
            </w:r>
          </w:p>
        </w:tc>
        <w:tc>
          <w:tcPr>
            <w:tcW w:w="838" w:type="dxa"/>
            <w:vMerge w:val="restart"/>
            <w:vAlign w:val="center"/>
          </w:tcPr>
          <w:p>
            <w:pPr>
              <w:adjustRightInd w:val="0"/>
              <w:snapToGrid w:val="0"/>
              <w:jc w:val="left"/>
              <w:rPr>
                <w:szCs w:val="21"/>
                <w:highlight w:val="none"/>
              </w:rPr>
            </w:pPr>
            <w:r>
              <w:rPr>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Merge w:val="continue"/>
            <w:vAlign w:val="center"/>
          </w:tcPr>
          <w:p>
            <w:pPr>
              <w:adjustRightInd w:val="0"/>
              <w:snapToGrid w:val="0"/>
              <w:jc w:val="left"/>
              <w:rPr>
                <w:szCs w:val="21"/>
                <w:highlight w:val="none"/>
              </w:rPr>
            </w:pPr>
          </w:p>
        </w:tc>
        <w:tc>
          <w:tcPr>
            <w:tcW w:w="993" w:type="dxa"/>
            <w:vAlign w:val="center"/>
          </w:tcPr>
          <w:p>
            <w:pPr>
              <w:adjustRightInd w:val="0"/>
              <w:snapToGrid w:val="0"/>
              <w:jc w:val="center"/>
              <w:rPr>
                <w:szCs w:val="21"/>
                <w:highlight w:val="none"/>
              </w:rPr>
            </w:pPr>
            <w:r>
              <w:rPr>
                <w:szCs w:val="21"/>
                <w:highlight w:val="none"/>
              </w:rPr>
              <w:t>条目</w:t>
            </w:r>
          </w:p>
        </w:tc>
        <w:tc>
          <w:tcPr>
            <w:tcW w:w="2582" w:type="dxa"/>
            <w:vAlign w:val="center"/>
          </w:tcPr>
          <w:p>
            <w:pPr>
              <w:widowControl/>
              <w:adjustRightInd w:val="0"/>
              <w:snapToGrid w:val="0"/>
              <w:jc w:val="center"/>
              <w:rPr>
                <w:szCs w:val="21"/>
                <w:highlight w:val="none"/>
              </w:rPr>
            </w:pPr>
            <w:r>
              <w:rPr>
                <w:szCs w:val="21"/>
                <w:highlight w:val="none"/>
              </w:rPr>
              <w:t>简要内容</w:t>
            </w:r>
          </w:p>
        </w:tc>
        <w:tc>
          <w:tcPr>
            <w:tcW w:w="900" w:type="dxa"/>
            <w:vAlign w:val="center"/>
          </w:tcPr>
          <w:p>
            <w:pPr>
              <w:adjustRightInd w:val="0"/>
              <w:snapToGrid w:val="0"/>
              <w:jc w:val="center"/>
              <w:rPr>
                <w:szCs w:val="21"/>
                <w:highlight w:val="none"/>
              </w:rPr>
            </w:pPr>
            <w:r>
              <w:rPr>
                <w:szCs w:val="21"/>
                <w:highlight w:val="none"/>
              </w:rPr>
              <w:t>条目</w:t>
            </w:r>
          </w:p>
        </w:tc>
        <w:tc>
          <w:tcPr>
            <w:tcW w:w="2668" w:type="dxa"/>
            <w:vAlign w:val="center"/>
          </w:tcPr>
          <w:p>
            <w:pPr>
              <w:widowControl/>
              <w:adjustRightInd w:val="0"/>
              <w:snapToGrid w:val="0"/>
              <w:jc w:val="center"/>
              <w:rPr>
                <w:szCs w:val="21"/>
                <w:highlight w:val="none"/>
              </w:rPr>
            </w:pPr>
            <w:r>
              <w:rPr>
                <w:szCs w:val="21"/>
                <w:highlight w:val="none"/>
              </w:rPr>
              <w:t>简要内容</w:t>
            </w:r>
          </w:p>
        </w:tc>
        <w:tc>
          <w:tcPr>
            <w:tcW w:w="838" w:type="dxa"/>
            <w:vMerge w:val="continue"/>
            <w:vAlign w:val="center"/>
          </w:tcPr>
          <w:p>
            <w:pPr>
              <w:widowControl/>
              <w:adjustRightInd w:val="0"/>
              <w:snapToGrid w:val="0"/>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Align w:val="center"/>
          </w:tcPr>
          <w:p>
            <w:pPr>
              <w:adjustRightInd w:val="0"/>
              <w:snapToGrid w:val="0"/>
              <w:jc w:val="center"/>
              <w:rPr>
                <w:szCs w:val="21"/>
                <w:highlight w:val="none"/>
              </w:rPr>
            </w:pPr>
            <w:r>
              <w:rPr>
                <w:szCs w:val="21"/>
                <w:highlight w:val="none"/>
              </w:rPr>
              <w:t>1</w:t>
            </w:r>
          </w:p>
        </w:tc>
        <w:tc>
          <w:tcPr>
            <w:tcW w:w="993" w:type="dxa"/>
            <w:vAlign w:val="center"/>
          </w:tcPr>
          <w:p>
            <w:pPr>
              <w:adjustRightInd w:val="0"/>
              <w:snapToGrid w:val="0"/>
              <w:rPr>
                <w:szCs w:val="21"/>
                <w:highlight w:val="none"/>
              </w:rPr>
            </w:pPr>
          </w:p>
        </w:tc>
        <w:tc>
          <w:tcPr>
            <w:tcW w:w="2582" w:type="dxa"/>
            <w:vAlign w:val="center"/>
          </w:tcPr>
          <w:p>
            <w:pPr>
              <w:adjustRightInd w:val="0"/>
              <w:snapToGrid w:val="0"/>
              <w:rPr>
                <w:szCs w:val="21"/>
                <w:highlight w:val="none"/>
              </w:rPr>
            </w:pPr>
          </w:p>
        </w:tc>
        <w:tc>
          <w:tcPr>
            <w:tcW w:w="900" w:type="dxa"/>
            <w:vAlign w:val="center"/>
          </w:tcPr>
          <w:p>
            <w:pPr>
              <w:adjustRightInd w:val="0"/>
              <w:snapToGrid w:val="0"/>
              <w:rPr>
                <w:szCs w:val="21"/>
                <w:highlight w:val="none"/>
              </w:rPr>
            </w:pPr>
          </w:p>
        </w:tc>
        <w:tc>
          <w:tcPr>
            <w:tcW w:w="2668" w:type="dxa"/>
            <w:vAlign w:val="center"/>
          </w:tcPr>
          <w:p>
            <w:pPr>
              <w:adjustRightInd w:val="0"/>
              <w:snapToGrid w:val="0"/>
              <w:rPr>
                <w:szCs w:val="21"/>
                <w:highlight w:val="none"/>
              </w:rPr>
            </w:pPr>
          </w:p>
        </w:tc>
        <w:tc>
          <w:tcPr>
            <w:tcW w:w="838" w:type="dxa"/>
            <w:vAlign w:val="center"/>
          </w:tcPr>
          <w:p>
            <w:pPr>
              <w:adjustRightInd w:val="0"/>
              <w:snapToGrid w:val="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Align w:val="center"/>
          </w:tcPr>
          <w:p>
            <w:pPr>
              <w:adjustRightInd w:val="0"/>
              <w:snapToGrid w:val="0"/>
              <w:jc w:val="center"/>
              <w:rPr>
                <w:szCs w:val="21"/>
                <w:highlight w:val="none"/>
              </w:rPr>
            </w:pPr>
            <w:r>
              <w:rPr>
                <w:szCs w:val="21"/>
                <w:highlight w:val="none"/>
              </w:rPr>
              <w:t>2</w:t>
            </w:r>
          </w:p>
        </w:tc>
        <w:tc>
          <w:tcPr>
            <w:tcW w:w="993" w:type="dxa"/>
            <w:vAlign w:val="center"/>
          </w:tcPr>
          <w:p>
            <w:pPr>
              <w:adjustRightInd w:val="0"/>
              <w:snapToGrid w:val="0"/>
              <w:rPr>
                <w:szCs w:val="21"/>
                <w:highlight w:val="none"/>
              </w:rPr>
            </w:pPr>
          </w:p>
        </w:tc>
        <w:tc>
          <w:tcPr>
            <w:tcW w:w="2582" w:type="dxa"/>
            <w:vAlign w:val="center"/>
          </w:tcPr>
          <w:p>
            <w:pPr>
              <w:adjustRightInd w:val="0"/>
              <w:snapToGrid w:val="0"/>
              <w:rPr>
                <w:szCs w:val="21"/>
                <w:highlight w:val="none"/>
              </w:rPr>
            </w:pPr>
          </w:p>
        </w:tc>
        <w:tc>
          <w:tcPr>
            <w:tcW w:w="900" w:type="dxa"/>
            <w:vAlign w:val="center"/>
          </w:tcPr>
          <w:p>
            <w:pPr>
              <w:adjustRightInd w:val="0"/>
              <w:snapToGrid w:val="0"/>
              <w:rPr>
                <w:szCs w:val="21"/>
                <w:highlight w:val="none"/>
              </w:rPr>
            </w:pPr>
          </w:p>
        </w:tc>
        <w:tc>
          <w:tcPr>
            <w:tcW w:w="2668" w:type="dxa"/>
            <w:vAlign w:val="center"/>
          </w:tcPr>
          <w:p>
            <w:pPr>
              <w:adjustRightInd w:val="0"/>
              <w:snapToGrid w:val="0"/>
              <w:rPr>
                <w:szCs w:val="21"/>
                <w:highlight w:val="none"/>
              </w:rPr>
            </w:pPr>
          </w:p>
        </w:tc>
        <w:tc>
          <w:tcPr>
            <w:tcW w:w="838" w:type="dxa"/>
            <w:vAlign w:val="center"/>
          </w:tcPr>
          <w:p>
            <w:pPr>
              <w:adjustRightInd w:val="0"/>
              <w:snapToGrid w:val="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Align w:val="center"/>
          </w:tcPr>
          <w:p>
            <w:pPr>
              <w:adjustRightInd w:val="0"/>
              <w:snapToGrid w:val="0"/>
              <w:jc w:val="center"/>
              <w:rPr>
                <w:szCs w:val="21"/>
                <w:highlight w:val="none"/>
              </w:rPr>
            </w:pPr>
            <w:r>
              <w:rPr>
                <w:szCs w:val="21"/>
                <w:highlight w:val="none"/>
              </w:rPr>
              <w:t>3</w:t>
            </w:r>
          </w:p>
        </w:tc>
        <w:tc>
          <w:tcPr>
            <w:tcW w:w="993" w:type="dxa"/>
            <w:vAlign w:val="center"/>
          </w:tcPr>
          <w:p>
            <w:pPr>
              <w:adjustRightInd w:val="0"/>
              <w:snapToGrid w:val="0"/>
              <w:rPr>
                <w:szCs w:val="21"/>
                <w:highlight w:val="none"/>
              </w:rPr>
            </w:pPr>
          </w:p>
        </w:tc>
        <w:tc>
          <w:tcPr>
            <w:tcW w:w="2582" w:type="dxa"/>
            <w:vAlign w:val="center"/>
          </w:tcPr>
          <w:p>
            <w:pPr>
              <w:adjustRightInd w:val="0"/>
              <w:snapToGrid w:val="0"/>
              <w:rPr>
                <w:szCs w:val="21"/>
                <w:highlight w:val="none"/>
              </w:rPr>
            </w:pPr>
          </w:p>
        </w:tc>
        <w:tc>
          <w:tcPr>
            <w:tcW w:w="900" w:type="dxa"/>
            <w:vAlign w:val="center"/>
          </w:tcPr>
          <w:p>
            <w:pPr>
              <w:adjustRightInd w:val="0"/>
              <w:snapToGrid w:val="0"/>
              <w:rPr>
                <w:szCs w:val="21"/>
                <w:highlight w:val="none"/>
              </w:rPr>
            </w:pPr>
          </w:p>
        </w:tc>
        <w:tc>
          <w:tcPr>
            <w:tcW w:w="2668" w:type="dxa"/>
            <w:vAlign w:val="center"/>
          </w:tcPr>
          <w:p>
            <w:pPr>
              <w:adjustRightInd w:val="0"/>
              <w:snapToGrid w:val="0"/>
              <w:rPr>
                <w:szCs w:val="21"/>
                <w:highlight w:val="none"/>
              </w:rPr>
            </w:pPr>
          </w:p>
        </w:tc>
        <w:tc>
          <w:tcPr>
            <w:tcW w:w="838" w:type="dxa"/>
            <w:vAlign w:val="center"/>
          </w:tcPr>
          <w:p>
            <w:pPr>
              <w:adjustRightInd w:val="0"/>
              <w:snapToGrid w:val="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Align w:val="center"/>
          </w:tcPr>
          <w:p>
            <w:pPr>
              <w:adjustRightInd w:val="0"/>
              <w:snapToGrid w:val="0"/>
              <w:jc w:val="center"/>
              <w:rPr>
                <w:szCs w:val="21"/>
                <w:highlight w:val="none"/>
              </w:rPr>
            </w:pPr>
            <w:r>
              <w:rPr>
                <w:szCs w:val="21"/>
                <w:highlight w:val="none"/>
              </w:rPr>
              <w:t>4</w:t>
            </w:r>
          </w:p>
        </w:tc>
        <w:tc>
          <w:tcPr>
            <w:tcW w:w="993" w:type="dxa"/>
            <w:vAlign w:val="center"/>
          </w:tcPr>
          <w:p>
            <w:pPr>
              <w:adjustRightInd w:val="0"/>
              <w:snapToGrid w:val="0"/>
              <w:rPr>
                <w:szCs w:val="21"/>
                <w:highlight w:val="none"/>
              </w:rPr>
            </w:pPr>
          </w:p>
        </w:tc>
        <w:tc>
          <w:tcPr>
            <w:tcW w:w="2582" w:type="dxa"/>
            <w:vAlign w:val="center"/>
          </w:tcPr>
          <w:p>
            <w:pPr>
              <w:adjustRightInd w:val="0"/>
              <w:snapToGrid w:val="0"/>
              <w:rPr>
                <w:szCs w:val="21"/>
                <w:highlight w:val="none"/>
              </w:rPr>
            </w:pPr>
          </w:p>
        </w:tc>
        <w:tc>
          <w:tcPr>
            <w:tcW w:w="900" w:type="dxa"/>
            <w:vAlign w:val="center"/>
          </w:tcPr>
          <w:p>
            <w:pPr>
              <w:adjustRightInd w:val="0"/>
              <w:snapToGrid w:val="0"/>
              <w:rPr>
                <w:szCs w:val="21"/>
                <w:highlight w:val="none"/>
              </w:rPr>
            </w:pPr>
          </w:p>
        </w:tc>
        <w:tc>
          <w:tcPr>
            <w:tcW w:w="2668" w:type="dxa"/>
            <w:vAlign w:val="center"/>
          </w:tcPr>
          <w:p>
            <w:pPr>
              <w:adjustRightInd w:val="0"/>
              <w:snapToGrid w:val="0"/>
              <w:rPr>
                <w:szCs w:val="21"/>
                <w:highlight w:val="none"/>
              </w:rPr>
            </w:pPr>
          </w:p>
        </w:tc>
        <w:tc>
          <w:tcPr>
            <w:tcW w:w="838" w:type="dxa"/>
            <w:vAlign w:val="center"/>
          </w:tcPr>
          <w:p>
            <w:pPr>
              <w:adjustRightInd w:val="0"/>
              <w:snapToGrid w:val="0"/>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02" w:type="dxa"/>
            <w:vAlign w:val="center"/>
          </w:tcPr>
          <w:p>
            <w:pPr>
              <w:adjustRightInd w:val="0"/>
              <w:snapToGrid w:val="0"/>
              <w:jc w:val="center"/>
              <w:rPr>
                <w:szCs w:val="21"/>
                <w:highlight w:val="none"/>
              </w:rPr>
            </w:pPr>
            <w:r>
              <w:rPr>
                <w:szCs w:val="21"/>
                <w:highlight w:val="none"/>
              </w:rPr>
              <w:t>5</w:t>
            </w:r>
          </w:p>
        </w:tc>
        <w:tc>
          <w:tcPr>
            <w:tcW w:w="993" w:type="dxa"/>
            <w:vAlign w:val="center"/>
          </w:tcPr>
          <w:p>
            <w:pPr>
              <w:adjustRightInd w:val="0"/>
              <w:snapToGrid w:val="0"/>
              <w:rPr>
                <w:szCs w:val="21"/>
                <w:highlight w:val="none"/>
              </w:rPr>
            </w:pPr>
          </w:p>
        </w:tc>
        <w:tc>
          <w:tcPr>
            <w:tcW w:w="2582" w:type="dxa"/>
            <w:vAlign w:val="center"/>
          </w:tcPr>
          <w:p>
            <w:pPr>
              <w:adjustRightInd w:val="0"/>
              <w:snapToGrid w:val="0"/>
              <w:rPr>
                <w:szCs w:val="21"/>
                <w:highlight w:val="none"/>
              </w:rPr>
            </w:pPr>
          </w:p>
        </w:tc>
        <w:tc>
          <w:tcPr>
            <w:tcW w:w="900" w:type="dxa"/>
            <w:vAlign w:val="center"/>
          </w:tcPr>
          <w:p>
            <w:pPr>
              <w:adjustRightInd w:val="0"/>
              <w:snapToGrid w:val="0"/>
              <w:rPr>
                <w:szCs w:val="21"/>
                <w:highlight w:val="none"/>
              </w:rPr>
            </w:pPr>
          </w:p>
        </w:tc>
        <w:tc>
          <w:tcPr>
            <w:tcW w:w="2668" w:type="dxa"/>
            <w:vAlign w:val="center"/>
          </w:tcPr>
          <w:p>
            <w:pPr>
              <w:adjustRightInd w:val="0"/>
              <w:snapToGrid w:val="0"/>
              <w:rPr>
                <w:szCs w:val="21"/>
                <w:highlight w:val="none"/>
              </w:rPr>
            </w:pPr>
          </w:p>
        </w:tc>
        <w:tc>
          <w:tcPr>
            <w:tcW w:w="838" w:type="dxa"/>
            <w:vAlign w:val="center"/>
          </w:tcPr>
          <w:p>
            <w:pPr>
              <w:adjustRightInd w:val="0"/>
              <w:snapToGrid w:val="0"/>
              <w:rPr>
                <w:szCs w:val="21"/>
                <w:highlight w:val="none"/>
              </w:rPr>
            </w:pPr>
          </w:p>
        </w:tc>
      </w:tr>
    </w:tbl>
    <w:p>
      <w:pPr>
        <w:rPr>
          <w:rFonts w:eastAsia="仿宋_GB2312"/>
          <w:sz w:val="24"/>
          <w:highlight w:val="none"/>
        </w:rPr>
      </w:pPr>
    </w:p>
    <w:p>
      <w:pPr>
        <w:snapToGrid w:val="0"/>
        <w:spacing w:before="120" w:line="4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说明：供应商需将响应文件和采购询比文件的差异之处汇集成表。如无偏差，请填写“无”。如有偏差，请填在“实际情况说明”。 </w:t>
      </w:r>
    </w:p>
    <w:p>
      <w:pPr>
        <w:pStyle w:val="2"/>
        <w:spacing w:line="400" w:lineRule="exact"/>
        <w:ind w:firstLine="210"/>
        <w:rPr>
          <w:rFonts w:asciiTheme="minorEastAsia" w:hAnsiTheme="minorEastAsia" w:eastAsiaTheme="minorEastAsia"/>
          <w:szCs w:val="21"/>
          <w:highlight w:val="none"/>
        </w:rPr>
      </w:pPr>
    </w:p>
    <w:p>
      <w:pPr>
        <w:adjustRightInd w:val="0"/>
        <w:snapToGrid w:val="0"/>
        <w:spacing w:line="4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响应供应商全称（公章）：</w:t>
      </w:r>
    </w:p>
    <w:p>
      <w:pPr>
        <w:adjustRightInd w:val="0"/>
        <w:snapToGrid w:val="0"/>
        <w:spacing w:line="400" w:lineRule="exact"/>
        <w:rPr>
          <w:rFonts w:asciiTheme="minorEastAsia" w:hAnsiTheme="minorEastAsia" w:eastAsiaTheme="minorEastAsia"/>
          <w:szCs w:val="21"/>
          <w:highlight w:val="none"/>
        </w:rPr>
      </w:pPr>
    </w:p>
    <w:p>
      <w:pPr>
        <w:adjustRightInd w:val="0"/>
        <w:snapToGrid w:val="0"/>
        <w:spacing w:line="4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法定代表人或授权代表（签字或盖章）：</w:t>
      </w:r>
    </w:p>
    <w:p>
      <w:pPr>
        <w:adjustRightInd w:val="0"/>
        <w:snapToGrid w:val="0"/>
        <w:spacing w:line="400" w:lineRule="exact"/>
        <w:rPr>
          <w:rFonts w:asciiTheme="minorEastAsia" w:hAnsiTheme="minorEastAsia" w:eastAsiaTheme="minorEastAsia"/>
          <w:szCs w:val="21"/>
          <w:highlight w:val="none"/>
        </w:rPr>
      </w:pPr>
    </w:p>
    <w:p>
      <w:pPr>
        <w:adjustRightInd w:val="0"/>
        <w:snapToGrid w:val="0"/>
        <w:spacing w:line="4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日期：</w:t>
      </w:r>
    </w:p>
    <w:p>
      <w:pPr>
        <w:rPr>
          <w:rFonts w:eastAsia="仿宋_GB2312"/>
          <w:sz w:val="24"/>
          <w:highlight w:val="none"/>
        </w:rPr>
      </w:pPr>
    </w:p>
    <w:p>
      <w:pPr>
        <w:rPr>
          <w:rFonts w:eastAsia="仿宋_GB2312"/>
          <w:sz w:val="24"/>
          <w:highlight w:val="none"/>
        </w:rPr>
      </w:pPr>
      <w:r>
        <w:rPr>
          <w:rFonts w:eastAsia="仿宋_GB2312"/>
          <w:sz w:val="24"/>
          <w:highlight w:val="none"/>
        </w:rPr>
        <w:br w:type="page"/>
      </w:r>
    </w:p>
    <w:p>
      <w:pPr>
        <w:jc w:val="center"/>
        <w:rPr>
          <w:rFonts w:hint="eastAsia" w:eastAsia="仿宋_GB2312"/>
          <w:sz w:val="24"/>
          <w:highlight w:val="none"/>
          <w:lang w:eastAsia="zh-CN"/>
        </w:rPr>
      </w:pPr>
      <w:r>
        <w:rPr>
          <w:rFonts w:hint="eastAsia" w:ascii="黑体" w:hAnsi="黑体" w:eastAsia="黑体"/>
          <w:sz w:val="30"/>
          <w:szCs w:val="30"/>
          <w:highlight w:val="none"/>
          <w:lang w:eastAsia="zh-CN"/>
        </w:rPr>
        <w:t>项目团队人员情况</w:t>
      </w:r>
    </w:p>
    <w:p>
      <w:pPr>
        <w:snapToGrid w:val="0"/>
        <w:spacing w:line="360" w:lineRule="auto"/>
        <w:ind w:firstLine="480" w:firstLineChars="200"/>
        <w:rPr>
          <w:rFonts w:ascii="宋体" w:hAnsi="宋体"/>
          <w:sz w:val="24"/>
          <w:highlight w:val="none"/>
        </w:rPr>
      </w:pPr>
      <w:r>
        <w:rPr>
          <w:rFonts w:ascii="宋体" w:hAnsi="宋体"/>
          <w:sz w:val="24"/>
          <w:highlight w:val="none"/>
        </w:rPr>
        <w:t>供应商</w:t>
      </w:r>
      <w:r>
        <w:rPr>
          <w:rFonts w:hint="eastAsia" w:ascii="宋体" w:hAnsi="宋体"/>
          <w:sz w:val="24"/>
          <w:highlight w:val="none"/>
        </w:rPr>
        <w:t>根据项目的内容、质量和进度要求自行编制</w:t>
      </w:r>
      <w:r>
        <w:rPr>
          <w:rFonts w:ascii="宋体" w:hAnsi="宋体"/>
          <w:sz w:val="24"/>
          <w:highlight w:val="none"/>
        </w:rPr>
        <w:t>，格式自拟。</w:t>
      </w: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rPr>
          <w:rFonts w:ascii="宋体" w:hAnsi="宋体"/>
          <w:sz w:val="24"/>
          <w:highlight w:val="none"/>
        </w:rPr>
      </w:pPr>
    </w:p>
    <w:p>
      <w:pPr>
        <w:pStyle w:val="2"/>
        <w:rPr>
          <w:rFonts w:ascii="宋体" w:hAnsi="宋体"/>
          <w:sz w:val="24"/>
          <w:highlight w:val="none"/>
        </w:rPr>
      </w:pPr>
    </w:p>
    <w:p>
      <w:pPr>
        <w:jc w:val="center"/>
        <w:rPr>
          <w:rFonts w:hint="eastAsia" w:ascii="黑体" w:hAnsi="黑体" w:eastAsia="黑体"/>
          <w:b w:val="0"/>
          <w:bCs w:val="0"/>
          <w:sz w:val="30"/>
          <w:szCs w:val="30"/>
          <w:highlight w:val="none"/>
          <w:lang w:eastAsia="zh-CN"/>
        </w:rPr>
      </w:pPr>
      <w:r>
        <w:rPr>
          <w:rFonts w:hint="eastAsia" w:ascii="黑体" w:hAnsi="黑体" w:eastAsia="黑体"/>
          <w:b w:val="0"/>
          <w:bCs w:val="0"/>
          <w:sz w:val="30"/>
          <w:szCs w:val="30"/>
          <w:highlight w:val="none"/>
          <w:lang w:eastAsia="zh-CN"/>
        </w:rPr>
        <w:t>服务方案</w:t>
      </w:r>
    </w:p>
    <w:p>
      <w:pPr>
        <w:snapToGrid w:val="0"/>
        <w:spacing w:line="360" w:lineRule="auto"/>
        <w:ind w:firstLine="480" w:firstLineChars="200"/>
        <w:rPr>
          <w:rFonts w:ascii="宋体" w:hAnsi="宋体"/>
          <w:sz w:val="24"/>
          <w:highlight w:val="none"/>
        </w:rPr>
      </w:pPr>
      <w:r>
        <w:rPr>
          <w:rFonts w:ascii="宋体" w:hAnsi="宋体"/>
          <w:sz w:val="24"/>
          <w:highlight w:val="none"/>
        </w:rPr>
        <w:t>供应商</w:t>
      </w:r>
      <w:r>
        <w:rPr>
          <w:rFonts w:hint="eastAsia" w:ascii="宋体" w:hAnsi="宋体"/>
          <w:sz w:val="24"/>
          <w:highlight w:val="none"/>
        </w:rPr>
        <w:t>根据项目的内容、质量和进度要求自行编制</w:t>
      </w:r>
      <w:r>
        <w:rPr>
          <w:rFonts w:ascii="宋体" w:hAnsi="宋体"/>
          <w:sz w:val="24"/>
          <w:highlight w:val="none"/>
        </w:rPr>
        <w:t>，格式自拟。</w:t>
      </w:r>
    </w:p>
    <w:p>
      <w:pPr>
        <w:pStyle w:val="2"/>
        <w:rPr>
          <w:rFonts w:hint="eastAsia"/>
          <w:lang w:eastAsia="zh-CN"/>
        </w:rPr>
      </w:pPr>
    </w:p>
    <w:sectPr>
      <w:footerReference r:id="rId7" w:type="first"/>
      <w:headerReference r:id="rId5" w:type="default"/>
      <w:footerReference r:id="rId6" w:type="default"/>
      <w:pgSz w:w="11907" w:h="16840"/>
      <w:pgMar w:top="1361" w:right="1474" w:bottom="1361" w:left="158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华光中圆_CNKI">
    <w:panose1 w:val="02000500000000000000"/>
    <w:charset w:val="86"/>
    <w:family w:val="auto"/>
    <w:pitch w:val="default"/>
    <w:sig w:usb0="A00002BF" w:usb1="18CF7CFA" w:usb2="00000016" w:usb3="00000000" w:csb0="0004000F" w:csb1="00000000"/>
  </w:font>
  <w:font w:name="华光中楷_CNKI">
    <w:panose1 w:val="02000500000000000000"/>
    <w:charset w:val="86"/>
    <w:family w:val="auto"/>
    <w:pitch w:val="default"/>
    <w:sig w:usb0="A00002BF" w:usb1="38CF7CFA" w:usb2="00000016" w:usb3="00000000" w:csb0="0004000F" w:csb1="00000000"/>
  </w:font>
  <w:font w:name="华光中等线_CNKI">
    <w:panose1 w:val="02000500000000000000"/>
    <w:charset w:val="86"/>
    <w:family w:val="auto"/>
    <w:pitch w:val="default"/>
    <w:sig w:usb0="A00002BF" w:usb1="38CF7CFA" w:usb2="00000016" w:usb3="00000000" w:csb0="0004000F" w:csb1="00000000"/>
  </w:font>
  <w:font w:name="华光中长宋_CNKI">
    <w:panose1 w:val="02000500000000000000"/>
    <w:charset w:val="86"/>
    <w:family w:val="auto"/>
    <w:pitch w:val="default"/>
    <w:sig w:usb0="A00002BF" w:usb1="38CF7CFA" w:usb2="00000016" w:usb3="00000000" w:csb0="0004000F"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苹方-简">
    <w:altName w:val="宋体"/>
    <w:panose1 w:val="020B0400000000000000"/>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方正仿宋_GBK">
    <w:altName w:val="Arial Unicode MS"/>
    <w:panose1 w:val="02000000000000000000"/>
    <w:charset w:val="86"/>
    <w:family w:val="auto"/>
    <w:pitch w:val="default"/>
    <w:sig w:usb0="00000000" w:usb1="00000000" w:usb2="00000000" w:usb3="00000000" w:csb0="00160000" w:csb1="00000000"/>
  </w:font>
  <w:font w:name="楷体_GB2312">
    <w:altName w:val="楷体"/>
    <w:panose1 w:val="02010609030101010101"/>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0" w:usb3="00000000" w:csb0="00060000" w:csb1="00000000"/>
  </w:font>
  <w:font w:name="冬青黑体简体中文">
    <w:altName w:val="黑体"/>
    <w:panose1 w:val="020B0300000000000000"/>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qRS7NAA&#10;AAADAQAADwAAAAAAAAABACAAAAAiAAAAZHJzL2Rvd25yZXYueG1sUEsBAhQAFAAAAAgAh07iQIYt&#10;6T7uAQAAtAMAAA4AAAAAAAAAAQAgAAAAHwEAAGRycy9lMm9Eb2MueG1sUEsFBgAAAAAGAAYAWQEA&#10;AH8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qRS7NAA&#10;AAADAQAADwAAAAAAAAABACAAAAAiAAAAZHJzL2Rvd25yZXYueG1sUEsBAhQAFAAAAAgAh07iQP6Y&#10;WnzuAQAAtAMAAA4AAAAAAAAAAQAgAAAAHwEAAGRycy9lMm9Eb2MueG1sUEsFBgAAAAAGAAYAWQEA&#10;AH8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756395"/>
    </w:sdtPr>
    <w:sdtContent>
      <w:p>
        <w:pPr>
          <w:pStyle w:val="14"/>
          <w:jc w:val="center"/>
        </w:pPr>
        <w:r>
          <w:fldChar w:fldCharType="begin"/>
        </w:r>
        <w:r>
          <w:instrText xml:space="preserve">PAGE   \* MERGEFORMAT</w:instrText>
        </w:r>
        <w:r>
          <w:fldChar w:fldCharType="separate"/>
        </w:r>
        <w:r>
          <w:rPr>
            <w:lang w:val="zh-CN"/>
          </w:rPr>
          <w:t>38</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401884"/>
    </w:sdtPr>
    <w:sdtContent>
      <w:p>
        <w:pPr>
          <w:pStyle w:val="14"/>
          <w:jc w:val="center"/>
        </w:pPr>
        <w:r>
          <w:fldChar w:fldCharType="begin"/>
        </w:r>
        <w:r>
          <w:instrText xml:space="preserve">PAGE   \* MERGEFORMAT</w:instrText>
        </w:r>
        <w:r>
          <w:fldChar w:fldCharType="separate"/>
        </w:r>
        <w:r>
          <w:rPr>
            <w:lang w:val="zh-CN"/>
          </w:rPr>
          <w:t>36</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8025"/>
        <w:tab w:val="clear" w:pos="4153"/>
        <w:tab w:val="clear" w:pos="8306"/>
      </w:tabs>
      <w:ind w:firstLine="90" w:firstLineChars="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BB177"/>
    <w:multiLevelType w:val="singleLevel"/>
    <w:tmpl w:val="62BBB177"/>
    <w:lvl w:ilvl="0" w:tentative="0">
      <w:start w:val="1"/>
      <w:numFmt w:val="decimal"/>
      <w:suff w:val="nothing"/>
      <w:lvlText w:val="%1."/>
      <w:lvlJc w:val="left"/>
    </w:lvl>
  </w:abstractNum>
  <w:abstractNum w:abstractNumId="1">
    <w:nsid w:val="63EA4C49"/>
    <w:multiLevelType w:val="multilevel"/>
    <w:tmpl w:val="63EA4C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02C5"/>
    <w:rsid w:val="000312E7"/>
    <w:rsid w:val="00031DA5"/>
    <w:rsid w:val="00031E38"/>
    <w:rsid w:val="00033F9F"/>
    <w:rsid w:val="00035290"/>
    <w:rsid w:val="000365B1"/>
    <w:rsid w:val="00041AFA"/>
    <w:rsid w:val="0004727C"/>
    <w:rsid w:val="000526FC"/>
    <w:rsid w:val="00052A99"/>
    <w:rsid w:val="00053E09"/>
    <w:rsid w:val="0005479B"/>
    <w:rsid w:val="00055DD5"/>
    <w:rsid w:val="00060159"/>
    <w:rsid w:val="000626BC"/>
    <w:rsid w:val="0006347E"/>
    <w:rsid w:val="00070424"/>
    <w:rsid w:val="000707B5"/>
    <w:rsid w:val="00070E79"/>
    <w:rsid w:val="00073212"/>
    <w:rsid w:val="00075C2D"/>
    <w:rsid w:val="0007694A"/>
    <w:rsid w:val="0007749E"/>
    <w:rsid w:val="000810BF"/>
    <w:rsid w:val="0008400D"/>
    <w:rsid w:val="00085599"/>
    <w:rsid w:val="000863F7"/>
    <w:rsid w:val="0009094C"/>
    <w:rsid w:val="00090BDD"/>
    <w:rsid w:val="00094681"/>
    <w:rsid w:val="000946D1"/>
    <w:rsid w:val="0009499D"/>
    <w:rsid w:val="000A08FA"/>
    <w:rsid w:val="000A0B87"/>
    <w:rsid w:val="000A1515"/>
    <w:rsid w:val="000A2EFE"/>
    <w:rsid w:val="000A5C75"/>
    <w:rsid w:val="000A5E65"/>
    <w:rsid w:val="000B09B8"/>
    <w:rsid w:val="000B0AA6"/>
    <w:rsid w:val="000B1684"/>
    <w:rsid w:val="000B76AA"/>
    <w:rsid w:val="000B7949"/>
    <w:rsid w:val="000B7B05"/>
    <w:rsid w:val="000C241A"/>
    <w:rsid w:val="000C37EB"/>
    <w:rsid w:val="000D0A49"/>
    <w:rsid w:val="000D7D56"/>
    <w:rsid w:val="000E2125"/>
    <w:rsid w:val="000E2AAF"/>
    <w:rsid w:val="000E3148"/>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2C6C"/>
    <w:rsid w:val="00116101"/>
    <w:rsid w:val="00117306"/>
    <w:rsid w:val="001235E4"/>
    <w:rsid w:val="00126E84"/>
    <w:rsid w:val="001303E8"/>
    <w:rsid w:val="001311A3"/>
    <w:rsid w:val="00132B09"/>
    <w:rsid w:val="00132E6C"/>
    <w:rsid w:val="001330E1"/>
    <w:rsid w:val="00137DB0"/>
    <w:rsid w:val="001402E8"/>
    <w:rsid w:val="001422B6"/>
    <w:rsid w:val="00144B3F"/>
    <w:rsid w:val="001508E7"/>
    <w:rsid w:val="00152E72"/>
    <w:rsid w:val="001616D5"/>
    <w:rsid w:val="0016333D"/>
    <w:rsid w:val="00164252"/>
    <w:rsid w:val="001656F7"/>
    <w:rsid w:val="001667F8"/>
    <w:rsid w:val="0016723B"/>
    <w:rsid w:val="00175696"/>
    <w:rsid w:val="00175705"/>
    <w:rsid w:val="00176DCE"/>
    <w:rsid w:val="00176FF0"/>
    <w:rsid w:val="00177B97"/>
    <w:rsid w:val="001806DB"/>
    <w:rsid w:val="001812F9"/>
    <w:rsid w:val="00181600"/>
    <w:rsid w:val="00181CB6"/>
    <w:rsid w:val="0018341A"/>
    <w:rsid w:val="00186B23"/>
    <w:rsid w:val="00187712"/>
    <w:rsid w:val="001905C0"/>
    <w:rsid w:val="00192F62"/>
    <w:rsid w:val="00193CD1"/>
    <w:rsid w:val="00195C23"/>
    <w:rsid w:val="00196557"/>
    <w:rsid w:val="001A07DC"/>
    <w:rsid w:val="001A1149"/>
    <w:rsid w:val="001A1418"/>
    <w:rsid w:val="001A782C"/>
    <w:rsid w:val="001B0B3D"/>
    <w:rsid w:val="001B1ED5"/>
    <w:rsid w:val="001B1F4B"/>
    <w:rsid w:val="001B3B7C"/>
    <w:rsid w:val="001B5C6C"/>
    <w:rsid w:val="001B6533"/>
    <w:rsid w:val="001C0C13"/>
    <w:rsid w:val="001C2321"/>
    <w:rsid w:val="001C43F3"/>
    <w:rsid w:val="001C5D30"/>
    <w:rsid w:val="001C605D"/>
    <w:rsid w:val="001C76A9"/>
    <w:rsid w:val="001D26FB"/>
    <w:rsid w:val="001D5995"/>
    <w:rsid w:val="001E27CD"/>
    <w:rsid w:val="001E5C43"/>
    <w:rsid w:val="001F2383"/>
    <w:rsid w:val="001F28F6"/>
    <w:rsid w:val="001F2D4A"/>
    <w:rsid w:val="001F595B"/>
    <w:rsid w:val="001F68C1"/>
    <w:rsid w:val="001F6979"/>
    <w:rsid w:val="001F7342"/>
    <w:rsid w:val="002006B4"/>
    <w:rsid w:val="00200829"/>
    <w:rsid w:val="002018B4"/>
    <w:rsid w:val="002064D3"/>
    <w:rsid w:val="00212138"/>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3368"/>
    <w:rsid w:val="00235123"/>
    <w:rsid w:val="00235F34"/>
    <w:rsid w:val="00240583"/>
    <w:rsid w:val="0024366E"/>
    <w:rsid w:val="0025018B"/>
    <w:rsid w:val="00251F19"/>
    <w:rsid w:val="00252437"/>
    <w:rsid w:val="0025403F"/>
    <w:rsid w:val="00255B34"/>
    <w:rsid w:val="00257D89"/>
    <w:rsid w:val="00260A18"/>
    <w:rsid w:val="00264BBE"/>
    <w:rsid w:val="002661EA"/>
    <w:rsid w:val="00273808"/>
    <w:rsid w:val="00281AA9"/>
    <w:rsid w:val="00282C9B"/>
    <w:rsid w:val="00287361"/>
    <w:rsid w:val="0029490E"/>
    <w:rsid w:val="002953C2"/>
    <w:rsid w:val="002953FB"/>
    <w:rsid w:val="00296070"/>
    <w:rsid w:val="002961C3"/>
    <w:rsid w:val="0029716F"/>
    <w:rsid w:val="00297C12"/>
    <w:rsid w:val="002A27DD"/>
    <w:rsid w:val="002A2E88"/>
    <w:rsid w:val="002A593B"/>
    <w:rsid w:val="002A6786"/>
    <w:rsid w:val="002A75A4"/>
    <w:rsid w:val="002B163D"/>
    <w:rsid w:val="002B1698"/>
    <w:rsid w:val="002B28C4"/>
    <w:rsid w:val="002B2C7F"/>
    <w:rsid w:val="002B2F6C"/>
    <w:rsid w:val="002B474E"/>
    <w:rsid w:val="002B5E2D"/>
    <w:rsid w:val="002C18F9"/>
    <w:rsid w:val="002C5525"/>
    <w:rsid w:val="002D7956"/>
    <w:rsid w:val="002E0F19"/>
    <w:rsid w:val="002E6EF1"/>
    <w:rsid w:val="002E70F3"/>
    <w:rsid w:val="002F0C55"/>
    <w:rsid w:val="002F48EC"/>
    <w:rsid w:val="002F5F74"/>
    <w:rsid w:val="0030798C"/>
    <w:rsid w:val="00312289"/>
    <w:rsid w:val="0031330C"/>
    <w:rsid w:val="00313CFF"/>
    <w:rsid w:val="003141B1"/>
    <w:rsid w:val="0031494B"/>
    <w:rsid w:val="00320A4D"/>
    <w:rsid w:val="0032145A"/>
    <w:rsid w:val="003265BC"/>
    <w:rsid w:val="00330B98"/>
    <w:rsid w:val="0033215E"/>
    <w:rsid w:val="0033311F"/>
    <w:rsid w:val="00333B24"/>
    <w:rsid w:val="00335067"/>
    <w:rsid w:val="003374E6"/>
    <w:rsid w:val="0033765D"/>
    <w:rsid w:val="003402DF"/>
    <w:rsid w:val="00340DA7"/>
    <w:rsid w:val="00340F00"/>
    <w:rsid w:val="003417C1"/>
    <w:rsid w:val="003426D1"/>
    <w:rsid w:val="00344E3B"/>
    <w:rsid w:val="00345F65"/>
    <w:rsid w:val="00346F95"/>
    <w:rsid w:val="00347294"/>
    <w:rsid w:val="00351F4D"/>
    <w:rsid w:val="003546A0"/>
    <w:rsid w:val="003562B6"/>
    <w:rsid w:val="00361159"/>
    <w:rsid w:val="003618B2"/>
    <w:rsid w:val="0036250C"/>
    <w:rsid w:val="00362C9E"/>
    <w:rsid w:val="0036608D"/>
    <w:rsid w:val="003706E0"/>
    <w:rsid w:val="00372B88"/>
    <w:rsid w:val="00374924"/>
    <w:rsid w:val="003752F8"/>
    <w:rsid w:val="003756F7"/>
    <w:rsid w:val="00382C2D"/>
    <w:rsid w:val="003832CC"/>
    <w:rsid w:val="00383470"/>
    <w:rsid w:val="00383B34"/>
    <w:rsid w:val="00383C3F"/>
    <w:rsid w:val="003845E5"/>
    <w:rsid w:val="003849BA"/>
    <w:rsid w:val="003907C8"/>
    <w:rsid w:val="00392B9F"/>
    <w:rsid w:val="00394455"/>
    <w:rsid w:val="0039503F"/>
    <w:rsid w:val="00395169"/>
    <w:rsid w:val="003956F9"/>
    <w:rsid w:val="003961E4"/>
    <w:rsid w:val="003A2453"/>
    <w:rsid w:val="003A339E"/>
    <w:rsid w:val="003A3DDF"/>
    <w:rsid w:val="003A5017"/>
    <w:rsid w:val="003B0E24"/>
    <w:rsid w:val="003B2A58"/>
    <w:rsid w:val="003B2F51"/>
    <w:rsid w:val="003B306E"/>
    <w:rsid w:val="003B516D"/>
    <w:rsid w:val="003C046F"/>
    <w:rsid w:val="003C27F6"/>
    <w:rsid w:val="003C3478"/>
    <w:rsid w:val="003C67AA"/>
    <w:rsid w:val="003C7392"/>
    <w:rsid w:val="003C7B99"/>
    <w:rsid w:val="003D0CE7"/>
    <w:rsid w:val="003D56E0"/>
    <w:rsid w:val="003D7D4D"/>
    <w:rsid w:val="003D7FBC"/>
    <w:rsid w:val="003E71D5"/>
    <w:rsid w:val="003F0455"/>
    <w:rsid w:val="003F097B"/>
    <w:rsid w:val="003F4A1D"/>
    <w:rsid w:val="003F769B"/>
    <w:rsid w:val="003F778A"/>
    <w:rsid w:val="00400217"/>
    <w:rsid w:val="00402841"/>
    <w:rsid w:val="004078F1"/>
    <w:rsid w:val="00407FF6"/>
    <w:rsid w:val="00410BB4"/>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52AF7"/>
    <w:rsid w:val="004545A1"/>
    <w:rsid w:val="004554A3"/>
    <w:rsid w:val="00456106"/>
    <w:rsid w:val="004565AB"/>
    <w:rsid w:val="00457EB8"/>
    <w:rsid w:val="00461974"/>
    <w:rsid w:val="00463F4F"/>
    <w:rsid w:val="004646B4"/>
    <w:rsid w:val="00470580"/>
    <w:rsid w:val="00470683"/>
    <w:rsid w:val="00473749"/>
    <w:rsid w:val="0047593D"/>
    <w:rsid w:val="00475D9E"/>
    <w:rsid w:val="00476DDD"/>
    <w:rsid w:val="004854B9"/>
    <w:rsid w:val="00485B48"/>
    <w:rsid w:val="00486549"/>
    <w:rsid w:val="00493B9D"/>
    <w:rsid w:val="004940CB"/>
    <w:rsid w:val="00494700"/>
    <w:rsid w:val="004947FC"/>
    <w:rsid w:val="0049507E"/>
    <w:rsid w:val="00496505"/>
    <w:rsid w:val="00497015"/>
    <w:rsid w:val="00497282"/>
    <w:rsid w:val="004A1E2E"/>
    <w:rsid w:val="004A24A0"/>
    <w:rsid w:val="004B0E04"/>
    <w:rsid w:val="004B1367"/>
    <w:rsid w:val="004C0F55"/>
    <w:rsid w:val="004C169A"/>
    <w:rsid w:val="004C2043"/>
    <w:rsid w:val="004C2308"/>
    <w:rsid w:val="004C4F03"/>
    <w:rsid w:val="004C4F13"/>
    <w:rsid w:val="004C6960"/>
    <w:rsid w:val="004C6B8C"/>
    <w:rsid w:val="004D08EA"/>
    <w:rsid w:val="004D2EE3"/>
    <w:rsid w:val="004D316D"/>
    <w:rsid w:val="004D49D3"/>
    <w:rsid w:val="004D5BB0"/>
    <w:rsid w:val="004D5EA7"/>
    <w:rsid w:val="004D600E"/>
    <w:rsid w:val="004E42ED"/>
    <w:rsid w:val="004F1EFB"/>
    <w:rsid w:val="004F2E25"/>
    <w:rsid w:val="004F5394"/>
    <w:rsid w:val="005023A6"/>
    <w:rsid w:val="005037DC"/>
    <w:rsid w:val="00503E95"/>
    <w:rsid w:val="00504B18"/>
    <w:rsid w:val="00505777"/>
    <w:rsid w:val="00505D03"/>
    <w:rsid w:val="005079B7"/>
    <w:rsid w:val="00512893"/>
    <w:rsid w:val="00514AE6"/>
    <w:rsid w:val="005157B4"/>
    <w:rsid w:val="005158EC"/>
    <w:rsid w:val="00515AB7"/>
    <w:rsid w:val="005162BD"/>
    <w:rsid w:val="005164FD"/>
    <w:rsid w:val="0052025B"/>
    <w:rsid w:val="005254B5"/>
    <w:rsid w:val="00535E75"/>
    <w:rsid w:val="00536D1E"/>
    <w:rsid w:val="00537B48"/>
    <w:rsid w:val="00543588"/>
    <w:rsid w:val="005451FC"/>
    <w:rsid w:val="0054542C"/>
    <w:rsid w:val="005524A0"/>
    <w:rsid w:val="00552FDA"/>
    <w:rsid w:val="00554E66"/>
    <w:rsid w:val="005564C8"/>
    <w:rsid w:val="00556FF1"/>
    <w:rsid w:val="00560447"/>
    <w:rsid w:val="00563AB0"/>
    <w:rsid w:val="00563DCE"/>
    <w:rsid w:val="00564378"/>
    <w:rsid w:val="0057246E"/>
    <w:rsid w:val="00577CCC"/>
    <w:rsid w:val="0058269D"/>
    <w:rsid w:val="00582F76"/>
    <w:rsid w:val="0058387D"/>
    <w:rsid w:val="00583A41"/>
    <w:rsid w:val="00585AC5"/>
    <w:rsid w:val="005869D4"/>
    <w:rsid w:val="00590841"/>
    <w:rsid w:val="00590C2B"/>
    <w:rsid w:val="00591BAD"/>
    <w:rsid w:val="00592421"/>
    <w:rsid w:val="00595221"/>
    <w:rsid w:val="005966C3"/>
    <w:rsid w:val="005A0D69"/>
    <w:rsid w:val="005A1045"/>
    <w:rsid w:val="005A15F8"/>
    <w:rsid w:val="005A553D"/>
    <w:rsid w:val="005A68C0"/>
    <w:rsid w:val="005A7872"/>
    <w:rsid w:val="005A7ED1"/>
    <w:rsid w:val="005B0980"/>
    <w:rsid w:val="005B2064"/>
    <w:rsid w:val="005B3453"/>
    <w:rsid w:val="005B4B73"/>
    <w:rsid w:val="005C0E61"/>
    <w:rsid w:val="005C5088"/>
    <w:rsid w:val="005D2A13"/>
    <w:rsid w:val="005D4648"/>
    <w:rsid w:val="005D6B07"/>
    <w:rsid w:val="005E04C3"/>
    <w:rsid w:val="005E08FE"/>
    <w:rsid w:val="005E3A43"/>
    <w:rsid w:val="005F02C9"/>
    <w:rsid w:val="005F2E6D"/>
    <w:rsid w:val="005F55E9"/>
    <w:rsid w:val="005F5F11"/>
    <w:rsid w:val="005F7C10"/>
    <w:rsid w:val="00600183"/>
    <w:rsid w:val="0060124B"/>
    <w:rsid w:val="00602261"/>
    <w:rsid w:val="006050CE"/>
    <w:rsid w:val="00605427"/>
    <w:rsid w:val="0061447D"/>
    <w:rsid w:val="00614DA2"/>
    <w:rsid w:val="00623F29"/>
    <w:rsid w:val="00627857"/>
    <w:rsid w:val="00631CFF"/>
    <w:rsid w:val="00633E0A"/>
    <w:rsid w:val="00634458"/>
    <w:rsid w:val="006378ED"/>
    <w:rsid w:val="00643526"/>
    <w:rsid w:val="00643D8E"/>
    <w:rsid w:val="00644A86"/>
    <w:rsid w:val="00644E61"/>
    <w:rsid w:val="00645D79"/>
    <w:rsid w:val="006502CC"/>
    <w:rsid w:val="00651552"/>
    <w:rsid w:val="00653A60"/>
    <w:rsid w:val="0066014C"/>
    <w:rsid w:val="006617BD"/>
    <w:rsid w:val="00662710"/>
    <w:rsid w:val="00662DE7"/>
    <w:rsid w:val="00663A12"/>
    <w:rsid w:val="00665603"/>
    <w:rsid w:val="00666353"/>
    <w:rsid w:val="0066686F"/>
    <w:rsid w:val="00666BC6"/>
    <w:rsid w:val="00670828"/>
    <w:rsid w:val="00670D25"/>
    <w:rsid w:val="00670F05"/>
    <w:rsid w:val="006730B1"/>
    <w:rsid w:val="00675ED8"/>
    <w:rsid w:val="006762AE"/>
    <w:rsid w:val="00690311"/>
    <w:rsid w:val="00691E4A"/>
    <w:rsid w:val="0069396D"/>
    <w:rsid w:val="00693EFF"/>
    <w:rsid w:val="0069517E"/>
    <w:rsid w:val="00696693"/>
    <w:rsid w:val="006A083F"/>
    <w:rsid w:val="006A3010"/>
    <w:rsid w:val="006A42FC"/>
    <w:rsid w:val="006B0ABC"/>
    <w:rsid w:val="006B10AD"/>
    <w:rsid w:val="006B39AD"/>
    <w:rsid w:val="006B480F"/>
    <w:rsid w:val="006C112E"/>
    <w:rsid w:val="006C1565"/>
    <w:rsid w:val="006C2809"/>
    <w:rsid w:val="006C30DD"/>
    <w:rsid w:val="006C326A"/>
    <w:rsid w:val="006C7C9F"/>
    <w:rsid w:val="006D0A0E"/>
    <w:rsid w:val="006D2CDA"/>
    <w:rsid w:val="006D5B39"/>
    <w:rsid w:val="006D64F2"/>
    <w:rsid w:val="006D6E40"/>
    <w:rsid w:val="006E0147"/>
    <w:rsid w:val="006E4880"/>
    <w:rsid w:val="006E6AD5"/>
    <w:rsid w:val="006F21CC"/>
    <w:rsid w:val="006F2AF6"/>
    <w:rsid w:val="006F507C"/>
    <w:rsid w:val="00700216"/>
    <w:rsid w:val="00703657"/>
    <w:rsid w:val="00703ADC"/>
    <w:rsid w:val="00704D39"/>
    <w:rsid w:val="007060AC"/>
    <w:rsid w:val="00707A72"/>
    <w:rsid w:val="00707CAB"/>
    <w:rsid w:val="007100D9"/>
    <w:rsid w:val="00710335"/>
    <w:rsid w:val="00714520"/>
    <w:rsid w:val="0071662A"/>
    <w:rsid w:val="00716BA6"/>
    <w:rsid w:val="00717640"/>
    <w:rsid w:val="00722DDE"/>
    <w:rsid w:val="007249D4"/>
    <w:rsid w:val="00725B39"/>
    <w:rsid w:val="00727C00"/>
    <w:rsid w:val="007321DD"/>
    <w:rsid w:val="0073367D"/>
    <w:rsid w:val="007336C6"/>
    <w:rsid w:val="00733D53"/>
    <w:rsid w:val="00736BF6"/>
    <w:rsid w:val="007400FB"/>
    <w:rsid w:val="00740E2E"/>
    <w:rsid w:val="00743885"/>
    <w:rsid w:val="007459BF"/>
    <w:rsid w:val="00745DDB"/>
    <w:rsid w:val="0075219E"/>
    <w:rsid w:val="007536E5"/>
    <w:rsid w:val="00754325"/>
    <w:rsid w:val="00755A9E"/>
    <w:rsid w:val="00756727"/>
    <w:rsid w:val="0076246F"/>
    <w:rsid w:val="007628D2"/>
    <w:rsid w:val="00764297"/>
    <w:rsid w:val="00764CB6"/>
    <w:rsid w:val="0077042D"/>
    <w:rsid w:val="00770A31"/>
    <w:rsid w:val="0077360E"/>
    <w:rsid w:val="0077441C"/>
    <w:rsid w:val="0077559D"/>
    <w:rsid w:val="00775F3F"/>
    <w:rsid w:val="0078186A"/>
    <w:rsid w:val="0078256B"/>
    <w:rsid w:val="00784795"/>
    <w:rsid w:val="00784A94"/>
    <w:rsid w:val="007857F8"/>
    <w:rsid w:val="00786AE7"/>
    <w:rsid w:val="00792D03"/>
    <w:rsid w:val="00793A84"/>
    <w:rsid w:val="007948FE"/>
    <w:rsid w:val="007976B4"/>
    <w:rsid w:val="007979FA"/>
    <w:rsid w:val="007A204C"/>
    <w:rsid w:val="007A2724"/>
    <w:rsid w:val="007A2E8D"/>
    <w:rsid w:val="007A3B57"/>
    <w:rsid w:val="007A3D9C"/>
    <w:rsid w:val="007A7DB2"/>
    <w:rsid w:val="007B06A7"/>
    <w:rsid w:val="007B2210"/>
    <w:rsid w:val="007B2385"/>
    <w:rsid w:val="007B69F7"/>
    <w:rsid w:val="007C01C2"/>
    <w:rsid w:val="007C1073"/>
    <w:rsid w:val="007C2467"/>
    <w:rsid w:val="007C2EB9"/>
    <w:rsid w:val="007C5A35"/>
    <w:rsid w:val="007C6F84"/>
    <w:rsid w:val="007C7633"/>
    <w:rsid w:val="007D1279"/>
    <w:rsid w:val="007D2A37"/>
    <w:rsid w:val="007D353C"/>
    <w:rsid w:val="007D4C29"/>
    <w:rsid w:val="007D5CAF"/>
    <w:rsid w:val="007E00DC"/>
    <w:rsid w:val="007E161C"/>
    <w:rsid w:val="007E2CAB"/>
    <w:rsid w:val="007E3B61"/>
    <w:rsid w:val="007F06B5"/>
    <w:rsid w:val="007F1095"/>
    <w:rsid w:val="007F23B5"/>
    <w:rsid w:val="007F280E"/>
    <w:rsid w:val="007F487C"/>
    <w:rsid w:val="007F63DE"/>
    <w:rsid w:val="00801FF8"/>
    <w:rsid w:val="00802FE1"/>
    <w:rsid w:val="00804356"/>
    <w:rsid w:val="008050FA"/>
    <w:rsid w:val="00805F53"/>
    <w:rsid w:val="008060FA"/>
    <w:rsid w:val="00806172"/>
    <w:rsid w:val="0081386D"/>
    <w:rsid w:val="008141E9"/>
    <w:rsid w:val="008148C9"/>
    <w:rsid w:val="00817916"/>
    <w:rsid w:val="00831E04"/>
    <w:rsid w:val="00832760"/>
    <w:rsid w:val="00832B87"/>
    <w:rsid w:val="008335A1"/>
    <w:rsid w:val="00844028"/>
    <w:rsid w:val="008463DF"/>
    <w:rsid w:val="00847306"/>
    <w:rsid w:val="0085093A"/>
    <w:rsid w:val="00854751"/>
    <w:rsid w:val="008547A5"/>
    <w:rsid w:val="00856DA4"/>
    <w:rsid w:val="008605BC"/>
    <w:rsid w:val="0086062F"/>
    <w:rsid w:val="0086271C"/>
    <w:rsid w:val="00864B0E"/>
    <w:rsid w:val="00865C27"/>
    <w:rsid w:val="00867E14"/>
    <w:rsid w:val="00867E76"/>
    <w:rsid w:val="0087066E"/>
    <w:rsid w:val="0087211D"/>
    <w:rsid w:val="00872BA2"/>
    <w:rsid w:val="00874115"/>
    <w:rsid w:val="00880B3F"/>
    <w:rsid w:val="00881CBC"/>
    <w:rsid w:val="008833B4"/>
    <w:rsid w:val="0088607B"/>
    <w:rsid w:val="0088673C"/>
    <w:rsid w:val="00886923"/>
    <w:rsid w:val="00887757"/>
    <w:rsid w:val="00890478"/>
    <w:rsid w:val="00890C6D"/>
    <w:rsid w:val="00892752"/>
    <w:rsid w:val="00893DB4"/>
    <w:rsid w:val="00895DF1"/>
    <w:rsid w:val="00896021"/>
    <w:rsid w:val="008978CD"/>
    <w:rsid w:val="008A030D"/>
    <w:rsid w:val="008A04EF"/>
    <w:rsid w:val="008A0599"/>
    <w:rsid w:val="008A3034"/>
    <w:rsid w:val="008A3F88"/>
    <w:rsid w:val="008A5BE7"/>
    <w:rsid w:val="008A70A9"/>
    <w:rsid w:val="008A7A8E"/>
    <w:rsid w:val="008B3261"/>
    <w:rsid w:val="008B3A05"/>
    <w:rsid w:val="008B6A6E"/>
    <w:rsid w:val="008B7884"/>
    <w:rsid w:val="008C0B8E"/>
    <w:rsid w:val="008C2BFC"/>
    <w:rsid w:val="008C4B31"/>
    <w:rsid w:val="008C5999"/>
    <w:rsid w:val="008C6DA8"/>
    <w:rsid w:val="008C7020"/>
    <w:rsid w:val="008D28B2"/>
    <w:rsid w:val="008D305E"/>
    <w:rsid w:val="008D631D"/>
    <w:rsid w:val="008D74F2"/>
    <w:rsid w:val="008E0292"/>
    <w:rsid w:val="008E049D"/>
    <w:rsid w:val="008E1923"/>
    <w:rsid w:val="008E1EC0"/>
    <w:rsid w:val="008E32B0"/>
    <w:rsid w:val="008E34C7"/>
    <w:rsid w:val="008E5411"/>
    <w:rsid w:val="008E60E2"/>
    <w:rsid w:val="008E65D4"/>
    <w:rsid w:val="008E6BCE"/>
    <w:rsid w:val="008E7499"/>
    <w:rsid w:val="008F38B3"/>
    <w:rsid w:val="008F4719"/>
    <w:rsid w:val="008F6255"/>
    <w:rsid w:val="00900845"/>
    <w:rsid w:val="00905F2B"/>
    <w:rsid w:val="009061AA"/>
    <w:rsid w:val="0090721E"/>
    <w:rsid w:val="009074C9"/>
    <w:rsid w:val="009111CB"/>
    <w:rsid w:val="00913248"/>
    <w:rsid w:val="00913D11"/>
    <w:rsid w:val="00913F9E"/>
    <w:rsid w:val="00914885"/>
    <w:rsid w:val="0091571A"/>
    <w:rsid w:val="009166D8"/>
    <w:rsid w:val="009167AC"/>
    <w:rsid w:val="00922D88"/>
    <w:rsid w:val="00925124"/>
    <w:rsid w:val="00925EA3"/>
    <w:rsid w:val="0092667D"/>
    <w:rsid w:val="00932E5B"/>
    <w:rsid w:val="00935293"/>
    <w:rsid w:val="00935B10"/>
    <w:rsid w:val="009367F9"/>
    <w:rsid w:val="00936CBE"/>
    <w:rsid w:val="00945A4B"/>
    <w:rsid w:val="00951B95"/>
    <w:rsid w:val="00953B22"/>
    <w:rsid w:val="009576F2"/>
    <w:rsid w:val="00960AAF"/>
    <w:rsid w:val="009703CB"/>
    <w:rsid w:val="00970B1E"/>
    <w:rsid w:val="00982EFA"/>
    <w:rsid w:val="00983695"/>
    <w:rsid w:val="00984532"/>
    <w:rsid w:val="00985168"/>
    <w:rsid w:val="00990867"/>
    <w:rsid w:val="0099206E"/>
    <w:rsid w:val="009928CA"/>
    <w:rsid w:val="0099526D"/>
    <w:rsid w:val="009955C2"/>
    <w:rsid w:val="00996BA8"/>
    <w:rsid w:val="009978CC"/>
    <w:rsid w:val="009A3DB2"/>
    <w:rsid w:val="009A3F42"/>
    <w:rsid w:val="009A3F5C"/>
    <w:rsid w:val="009A599B"/>
    <w:rsid w:val="009A6747"/>
    <w:rsid w:val="009A6DBE"/>
    <w:rsid w:val="009A7FDE"/>
    <w:rsid w:val="009B2322"/>
    <w:rsid w:val="009B49A0"/>
    <w:rsid w:val="009B5733"/>
    <w:rsid w:val="009B76A1"/>
    <w:rsid w:val="009C17A7"/>
    <w:rsid w:val="009C2C09"/>
    <w:rsid w:val="009C2E04"/>
    <w:rsid w:val="009C4BBA"/>
    <w:rsid w:val="009C6586"/>
    <w:rsid w:val="009C79AB"/>
    <w:rsid w:val="009D0D14"/>
    <w:rsid w:val="009D455E"/>
    <w:rsid w:val="009E13E8"/>
    <w:rsid w:val="009E19F7"/>
    <w:rsid w:val="009E7993"/>
    <w:rsid w:val="009F08E7"/>
    <w:rsid w:val="009F18D9"/>
    <w:rsid w:val="009F38DB"/>
    <w:rsid w:val="009F3A6E"/>
    <w:rsid w:val="009F63CD"/>
    <w:rsid w:val="009F65A6"/>
    <w:rsid w:val="00A014B2"/>
    <w:rsid w:val="00A01F7A"/>
    <w:rsid w:val="00A03511"/>
    <w:rsid w:val="00A12D4A"/>
    <w:rsid w:val="00A13D58"/>
    <w:rsid w:val="00A14660"/>
    <w:rsid w:val="00A14F9A"/>
    <w:rsid w:val="00A1576B"/>
    <w:rsid w:val="00A157FB"/>
    <w:rsid w:val="00A15FDD"/>
    <w:rsid w:val="00A17909"/>
    <w:rsid w:val="00A214EA"/>
    <w:rsid w:val="00A234D5"/>
    <w:rsid w:val="00A240DB"/>
    <w:rsid w:val="00A25C78"/>
    <w:rsid w:val="00A30113"/>
    <w:rsid w:val="00A30F36"/>
    <w:rsid w:val="00A31FB9"/>
    <w:rsid w:val="00A338F9"/>
    <w:rsid w:val="00A36072"/>
    <w:rsid w:val="00A36A43"/>
    <w:rsid w:val="00A36A62"/>
    <w:rsid w:val="00A36C2B"/>
    <w:rsid w:val="00A41A21"/>
    <w:rsid w:val="00A4401B"/>
    <w:rsid w:val="00A44A6B"/>
    <w:rsid w:val="00A46C29"/>
    <w:rsid w:val="00A51857"/>
    <w:rsid w:val="00A54D79"/>
    <w:rsid w:val="00A55824"/>
    <w:rsid w:val="00A607B6"/>
    <w:rsid w:val="00A6108C"/>
    <w:rsid w:val="00A61172"/>
    <w:rsid w:val="00A63133"/>
    <w:rsid w:val="00A63AAA"/>
    <w:rsid w:val="00A6482A"/>
    <w:rsid w:val="00A661CD"/>
    <w:rsid w:val="00A668CA"/>
    <w:rsid w:val="00A675F7"/>
    <w:rsid w:val="00A72043"/>
    <w:rsid w:val="00A7229E"/>
    <w:rsid w:val="00A7304B"/>
    <w:rsid w:val="00A87736"/>
    <w:rsid w:val="00A90FF5"/>
    <w:rsid w:val="00A915A8"/>
    <w:rsid w:val="00A9308F"/>
    <w:rsid w:val="00A9664C"/>
    <w:rsid w:val="00A966D0"/>
    <w:rsid w:val="00A97D77"/>
    <w:rsid w:val="00AA13CE"/>
    <w:rsid w:val="00AA1E0E"/>
    <w:rsid w:val="00AA24CB"/>
    <w:rsid w:val="00AA3AF9"/>
    <w:rsid w:val="00AA3BB2"/>
    <w:rsid w:val="00AB43E1"/>
    <w:rsid w:val="00AB5C27"/>
    <w:rsid w:val="00AB6BA5"/>
    <w:rsid w:val="00AB797C"/>
    <w:rsid w:val="00AC013E"/>
    <w:rsid w:val="00AC08C8"/>
    <w:rsid w:val="00AC14CC"/>
    <w:rsid w:val="00AC1EDA"/>
    <w:rsid w:val="00AC3821"/>
    <w:rsid w:val="00AC61EA"/>
    <w:rsid w:val="00AC6CBD"/>
    <w:rsid w:val="00AC6F1A"/>
    <w:rsid w:val="00AC703A"/>
    <w:rsid w:val="00AC7859"/>
    <w:rsid w:val="00AD202B"/>
    <w:rsid w:val="00AD4175"/>
    <w:rsid w:val="00AD618D"/>
    <w:rsid w:val="00AE198D"/>
    <w:rsid w:val="00AE6524"/>
    <w:rsid w:val="00AE6D3F"/>
    <w:rsid w:val="00AF1DBD"/>
    <w:rsid w:val="00AF55B0"/>
    <w:rsid w:val="00AF6037"/>
    <w:rsid w:val="00AF63C0"/>
    <w:rsid w:val="00B07032"/>
    <w:rsid w:val="00B11820"/>
    <w:rsid w:val="00B12314"/>
    <w:rsid w:val="00B139ED"/>
    <w:rsid w:val="00B16738"/>
    <w:rsid w:val="00B210F8"/>
    <w:rsid w:val="00B21947"/>
    <w:rsid w:val="00B24DE6"/>
    <w:rsid w:val="00B305B4"/>
    <w:rsid w:val="00B30A29"/>
    <w:rsid w:val="00B30F44"/>
    <w:rsid w:val="00B31008"/>
    <w:rsid w:val="00B32885"/>
    <w:rsid w:val="00B32A73"/>
    <w:rsid w:val="00B3370A"/>
    <w:rsid w:val="00B34E08"/>
    <w:rsid w:val="00B37267"/>
    <w:rsid w:val="00B37819"/>
    <w:rsid w:val="00B406FC"/>
    <w:rsid w:val="00B422E5"/>
    <w:rsid w:val="00B4325A"/>
    <w:rsid w:val="00B44BF4"/>
    <w:rsid w:val="00B44C76"/>
    <w:rsid w:val="00B45E2A"/>
    <w:rsid w:val="00B47BDD"/>
    <w:rsid w:val="00B51633"/>
    <w:rsid w:val="00B51689"/>
    <w:rsid w:val="00B53F1A"/>
    <w:rsid w:val="00B55637"/>
    <w:rsid w:val="00B604E4"/>
    <w:rsid w:val="00B63499"/>
    <w:rsid w:val="00B63FD1"/>
    <w:rsid w:val="00B67131"/>
    <w:rsid w:val="00B6781D"/>
    <w:rsid w:val="00B67E43"/>
    <w:rsid w:val="00B721B3"/>
    <w:rsid w:val="00B74742"/>
    <w:rsid w:val="00B80037"/>
    <w:rsid w:val="00B82E79"/>
    <w:rsid w:val="00B86E87"/>
    <w:rsid w:val="00B873C1"/>
    <w:rsid w:val="00B90E5E"/>
    <w:rsid w:val="00B91374"/>
    <w:rsid w:val="00B9150B"/>
    <w:rsid w:val="00B92679"/>
    <w:rsid w:val="00B9372C"/>
    <w:rsid w:val="00B944C4"/>
    <w:rsid w:val="00B95CAE"/>
    <w:rsid w:val="00B96EAE"/>
    <w:rsid w:val="00BA0468"/>
    <w:rsid w:val="00BA06DE"/>
    <w:rsid w:val="00BA13CE"/>
    <w:rsid w:val="00BA21A5"/>
    <w:rsid w:val="00BA2546"/>
    <w:rsid w:val="00BA6E89"/>
    <w:rsid w:val="00BB006B"/>
    <w:rsid w:val="00BB06B3"/>
    <w:rsid w:val="00BB4A7B"/>
    <w:rsid w:val="00BB601F"/>
    <w:rsid w:val="00BB7206"/>
    <w:rsid w:val="00BB7536"/>
    <w:rsid w:val="00BC678D"/>
    <w:rsid w:val="00BC6BF4"/>
    <w:rsid w:val="00BC6D2E"/>
    <w:rsid w:val="00BC7BB5"/>
    <w:rsid w:val="00BD0087"/>
    <w:rsid w:val="00BD0244"/>
    <w:rsid w:val="00BD410D"/>
    <w:rsid w:val="00BD52FA"/>
    <w:rsid w:val="00BE05FF"/>
    <w:rsid w:val="00BE6E4F"/>
    <w:rsid w:val="00BE77B7"/>
    <w:rsid w:val="00BF1592"/>
    <w:rsid w:val="00BF2942"/>
    <w:rsid w:val="00C01AB7"/>
    <w:rsid w:val="00C01EF1"/>
    <w:rsid w:val="00C05E1C"/>
    <w:rsid w:val="00C11260"/>
    <w:rsid w:val="00C14EF8"/>
    <w:rsid w:val="00C15DE0"/>
    <w:rsid w:val="00C174D3"/>
    <w:rsid w:val="00C20291"/>
    <w:rsid w:val="00C22B8E"/>
    <w:rsid w:val="00C2393A"/>
    <w:rsid w:val="00C23A8E"/>
    <w:rsid w:val="00C23F89"/>
    <w:rsid w:val="00C2438C"/>
    <w:rsid w:val="00C305E5"/>
    <w:rsid w:val="00C320DE"/>
    <w:rsid w:val="00C33086"/>
    <w:rsid w:val="00C345E7"/>
    <w:rsid w:val="00C35BEF"/>
    <w:rsid w:val="00C36DE3"/>
    <w:rsid w:val="00C36E51"/>
    <w:rsid w:val="00C37E06"/>
    <w:rsid w:val="00C41006"/>
    <w:rsid w:val="00C412AE"/>
    <w:rsid w:val="00C42977"/>
    <w:rsid w:val="00C435B4"/>
    <w:rsid w:val="00C44773"/>
    <w:rsid w:val="00C45BA5"/>
    <w:rsid w:val="00C47BEA"/>
    <w:rsid w:val="00C52CCD"/>
    <w:rsid w:val="00C53993"/>
    <w:rsid w:val="00C56201"/>
    <w:rsid w:val="00C57C6E"/>
    <w:rsid w:val="00C61A60"/>
    <w:rsid w:val="00C63D47"/>
    <w:rsid w:val="00C67B7A"/>
    <w:rsid w:val="00C70A5C"/>
    <w:rsid w:val="00C713D4"/>
    <w:rsid w:val="00C73874"/>
    <w:rsid w:val="00C74A7B"/>
    <w:rsid w:val="00C75217"/>
    <w:rsid w:val="00C76AE3"/>
    <w:rsid w:val="00C776F4"/>
    <w:rsid w:val="00C81583"/>
    <w:rsid w:val="00C87AEC"/>
    <w:rsid w:val="00C9014E"/>
    <w:rsid w:val="00C91D04"/>
    <w:rsid w:val="00C91EA0"/>
    <w:rsid w:val="00C97505"/>
    <w:rsid w:val="00CA1E4D"/>
    <w:rsid w:val="00CA296A"/>
    <w:rsid w:val="00CA3E8E"/>
    <w:rsid w:val="00CA4A6E"/>
    <w:rsid w:val="00CA5D80"/>
    <w:rsid w:val="00CA6663"/>
    <w:rsid w:val="00CA73AF"/>
    <w:rsid w:val="00CB1FFC"/>
    <w:rsid w:val="00CB3A5B"/>
    <w:rsid w:val="00CB47DF"/>
    <w:rsid w:val="00CB4921"/>
    <w:rsid w:val="00CB5354"/>
    <w:rsid w:val="00CB63D5"/>
    <w:rsid w:val="00CB6720"/>
    <w:rsid w:val="00CC060B"/>
    <w:rsid w:val="00CC0E1B"/>
    <w:rsid w:val="00CC41F1"/>
    <w:rsid w:val="00CC6901"/>
    <w:rsid w:val="00CC7A74"/>
    <w:rsid w:val="00CD2234"/>
    <w:rsid w:val="00CD28D7"/>
    <w:rsid w:val="00CD5BBF"/>
    <w:rsid w:val="00CE0B42"/>
    <w:rsid w:val="00CE2C5D"/>
    <w:rsid w:val="00CE461F"/>
    <w:rsid w:val="00CF2099"/>
    <w:rsid w:val="00CF3923"/>
    <w:rsid w:val="00CF3F97"/>
    <w:rsid w:val="00CF7D59"/>
    <w:rsid w:val="00D003B0"/>
    <w:rsid w:val="00D02699"/>
    <w:rsid w:val="00D02E2D"/>
    <w:rsid w:val="00D032E5"/>
    <w:rsid w:val="00D03B10"/>
    <w:rsid w:val="00D04B90"/>
    <w:rsid w:val="00D04EAD"/>
    <w:rsid w:val="00D06AFE"/>
    <w:rsid w:val="00D177F9"/>
    <w:rsid w:val="00D21142"/>
    <w:rsid w:val="00D21685"/>
    <w:rsid w:val="00D22C65"/>
    <w:rsid w:val="00D23672"/>
    <w:rsid w:val="00D23AD4"/>
    <w:rsid w:val="00D24368"/>
    <w:rsid w:val="00D24D01"/>
    <w:rsid w:val="00D258F4"/>
    <w:rsid w:val="00D261D5"/>
    <w:rsid w:val="00D265D6"/>
    <w:rsid w:val="00D30AA9"/>
    <w:rsid w:val="00D3254A"/>
    <w:rsid w:val="00D33495"/>
    <w:rsid w:val="00D33D6A"/>
    <w:rsid w:val="00D34C30"/>
    <w:rsid w:val="00D40BBB"/>
    <w:rsid w:val="00D40DC2"/>
    <w:rsid w:val="00D51512"/>
    <w:rsid w:val="00D55AB2"/>
    <w:rsid w:val="00D56D41"/>
    <w:rsid w:val="00D63353"/>
    <w:rsid w:val="00D63F19"/>
    <w:rsid w:val="00D66085"/>
    <w:rsid w:val="00D660E4"/>
    <w:rsid w:val="00D7066A"/>
    <w:rsid w:val="00D7129F"/>
    <w:rsid w:val="00D733C6"/>
    <w:rsid w:val="00D7353D"/>
    <w:rsid w:val="00D80F68"/>
    <w:rsid w:val="00D84606"/>
    <w:rsid w:val="00D863D3"/>
    <w:rsid w:val="00D87FD2"/>
    <w:rsid w:val="00D9019C"/>
    <w:rsid w:val="00D93C6D"/>
    <w:rsid w:val="00D95B8C"/>
    <w:rsid w:val="00DA4829"/>
    <w:rsid w:val="00DA490B"/>
    <w:rsid w:val="00DB0160"/>
    <w:rsid w:val="00DB0D53"/>
    <w:rsid w:val="00DB1652"/>
    <w:rsid w:val="00DC00F9"/>
    <w:rsid w:val="00DC44F6"/>
    <w:rsid w:val="00DD133D"/>
    <w:rsid w:val="00DD5636"/>
    <w:rsid w:val="00DD61E3"/>
    <w:rsid w:val="00DE1064"/>
    <w:rsid w:val="00DE219E"/>
    <w:rsid w:val="00DE22BF"/>
    <w:rsid w:val="00DE2885"/>
    <w:rsid w:val="00DE29D8"/>
    <w:rsid w:val="00DE2B28"/>
    <w:rsid w:val="00DE2EE0"/>
    <w:rsid w:val="00DE3254"/>
    <w:rsid w:val="00DE53AF"/>
    <w:rsid w:val="00DF4DDC"/>
    <w:rsid w:val="00DF51D4"/>
    <w:rsid w:val="00DF5B71"/>
    <w:rsid w:val="00DF6EA5"/>
    <w:rsid w:val="00E00054"/>
    <w:rsid w:val="00E04025"/>
    <w:rsid w:val="00E05C34"/>
    <w:rsid w:val="00E05E52"/>
    <w:rsid w:val="00E13EB0"/>
    <w:rsid w:val="00E20625"/>
    <w:rsid w:val="00E3123D"/>
    <w:rsid w:val="00E33B44"/>
    <w:rsid w:val="00E33C22"/>
    <w:rsid w:val="00E33E73"/>
    <w:rsid w:val="00E33FC7"/>
    <w:rsid w:val="00E34A39"/>
    <w:rsid w:val="00E35421"/>
    <w:rsid w:val="00E36212"/>
    <w:rsid w:val="00E365CE"/>
    <w:rsid w:val="00E36E59"/>
    <w:rsid w:val="00E40350"/>
    <w:rsid w:val="00E422B2"/>
    <w:rsid w:val="00E4678F"/>
    <w:rsid w:val="00E468EC"/>
    <w:rsid w:val="00E51E55"/>
    <w:rsid w:val="00E52EBA"/>
    <w:rsid w:val="00E618EA"/>
    <w:rsid w:val="00E63702"/>
    <w:rsid w:val="00E64C4C"/>
    <w:rsid w:val="00E6566F"/>
    <w:rsid w:val="00E6579E"/>
    <w:rsid w:val="00E67952"/>
    <w:rsid w:val="00E83F65"/>
    <w:rsid w:val="00E85038"/>
    <w:rsid w:val="00E85422"/>
    <w:rsid w:val="00E85D07"/>
    <w:rsid w:val="00E8650F"/>
    <w:rsid w:val="00E86524"/>
    <w:rsid w:val="00E8679D"/>
    <w:rsid w:val="00E9027E"/>
    <w:rsid w:val="00E91D27"/>
    <w:rsid w:val="00E91F98"/>
    <w:rsid w:val="00E9273C"/>
    <w:rsid w:val="00EA208B"/>
    <w:rsid w:val="00EA2E45"/>
    <w:rsid w:val="00EA3746"/>
    <w:rsid w:val="00EA3D61"/>
    <w:rsid w:val="00EA4130"/>
    <w:rsid w:val="00EA6FEB"/>
    <w:rsid w:val="00EB2AFB"/>
    <w:rsid w:val="00EB3843"/>
    <w:rsid w:val="00EB391C"/>
    <w:rsid w:val="00EB3CFF"/>
    <w:rsid w:val="00EB4EDE"/>
    <w:rsid w:val="00EB7B16"/>
    <w:rsid w:val="00EC20C6"/>
    <w:rsid w:val="00EC6774"/>
    <w:rsid w:val="00EC76EC"/>
    <w:rsid w:val="00ED0D92"/>
    <w:rsid w:val="00ED186F"/>
    <w:rsid w:val="00ED1CB0"/>
    <w:rsid w:val="00ED7728"/>
    <w:rsid w:val="00EE0072"/>
    <w:rsid w:val="00EE1C02"/>
    <w:rsid w:val="00EE1D39"/>
    <w:rsid w:val="00EE2F17"/>
    <w:rsid w:val="00EE3FFB"/>
    <w:rsid w:val="00EE51E3"/>
    <w:rsid w:val="00EE6F2A"/>
    <w:rsid w:val="00EF08F8"/>
    <w:rsid w:val="00EF3CED"/>
    <w:rsid w:val="00EF45A0"/>
    <w:rsid w:val="00EF47F4"/>
    <w:rsid w:val="00EF5073"/>
    <w:rsid w:val="00EF6254"/>
    <w:rsid w:val="00F00CF0"/>
    <w:rsid w:val="00F0134F"/>
    <w:rsid w:val="00F02D86"/>
    <w:rsid w:val="00F044FD"/>
    <w:rsid w:val="00F0629F"/>
    <w:rsid w:val="00F07B9E"/>
    <w:rsid w:val="00F10EF1"/>
    <w:rsid w:val="00F13837"/>
    <w:rsid w:val="00F14A47"/>
    <w:rsid w:val="00F17160"/>
    <w:rsid w:val="00F20F70"/>
    <w:rsid w:val="00F23B56"/>
    <w:rsid w:val="00F23E70"/>
    <w:rsid w:val="00F25367"/>
    <w:rsid w:val="00F30239"/>
    <w:rsid w:val="00F33544"/>
    <w:rsid w:val="00F3553B"/>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773DF"/>
    <w:rsid w:val="00F859AA"/>
    <w:rsid w:val="00F8716E"/>
    <w:rsid w:val="00F906E4"/>
    <w:rsid w:val="00F9089F"/>
    <w:rsid w:val="00F91F59"/>
    <w:rsid w:val="00F9274F"/>
    <w:rsid w:val="00FA0BB3"/>
    <w:rsid w:val="00FA0C48"/>
    <w:rsid w:val="00FA103E"/>
    <w:rsid w:val="00FA3893"/>
    <w:rsid w:val="00FA3D4E"/>
    <w:rsid w:val="00FA4533"/>
    <w:rsid w:val="00FA6F7F"/>
    <w:rsid w:val="00FA735C"/>
    <w:rsid w:val="00FB02CA"/>
    <w:rsid w:val="00FB19B1"/>
    <w:rsid w:val="00FB3C6A"/>
    <w:rsid w:val="00FB5255"/>
    <w:rsid w:val="00FB63AF"/>
    <w:rsid w:val="00FB6FC3"/>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3BF5"/>
    <w:rsid w:val="00FE743C"/>
    <w:rsid w:val="00FF5A78"/>
    <w:rsid w:val="00FF677F"/>
    <w:rsid w:val="017C6E6B"/>
    <w:rsid w:val="02646FD5"/>
    <w:rsid w:val="0BA973FE"/>
    <w:rsid w:val="0D341E46"/>
    <w:rsid w:val="0E507F66"/>
    <w:rsid w:val="0F0C0247"/>
    <w:rsid w:val="10AB4EEB"/>
    <w:rsid w:val="12423569"/>
    <w:rsid w:val="127D7762"/>
    <w:rsid w:val="13904240"/>
    <w:rsid w:val="15B21409"/>
    <w:rsid w:val="1A29313B"/>
    <w:rsid w:val="1A9C1A0B"/>
    <w:rsid w:val="1AF20352"/>
    <w:rsid w:val="1F093BC8"/>
    <w:rsid w:val="25C04566"/>
    <w:rsid w:val="27266695"/>
    <w:rsid w:val="28DA1DAC"/>
    <w:rsid w:val="2C9A503F"/>
    <w:rsid w:val="2DF873FB"/>
    <w:rsid w:val="2E692599"/>
    <w:rsid w:val="2EB4347B"/>
    <w:rsid w:val="33270DB4"/>
    <w:rsid w:val="33AF6D69"/>
    <w:rsid w:val="352B5F55"/>
    <w:rsid w:val="37CB7DF0"/>
    <w:rsid w:val="38ED7649"/>
    <w:rsid w:val="39953988"/>
    <w:rsid w:val="3CB9233F"/>
    <w:rsid w:val="3D390753"/>
    <w:rsid w:val="3FE459FF"/>
    <w:rsid w:val="40AC2662"/>
    <w:rsid w:val="40C0591C"/>
    <w:rsid w:val="4222708E"/>
    <w:rsid w:val="45657C1B"/>
    <w:rsid w:val="46E5357B"/>
    <w:rsid w:val="46F4021E"/>
    <w:rsid w:val="527D3798"/>
    <w:rsid w:val="52A55062"/>
    <w:rsid w:val="54455F15"/>
    <w:rsid w:val="54AD4E21"/>
    <w:rsid w:val="54CA4400"/>
    <w:rsid w:val="574A092A"/>
    <w:rsid w:val="57897024"/>
    <w:rsid w:val="58571A6E"/>
    <w:rsid w:val="59B00257"/>
    <w:rsid w:val="5B646DA7"/>
    <w:rsid w:val="5BDE041C"/>
    <w:rsid w:val="5F110BD8"/>
    <w:rsid w:val="60DB4C36"/>
    <w:rsid w:val="63E9303C"/>
    <w:rsid w:val="64B33F56"/>
    <w:rsid w:val="65FB256E"/>
    <w:rsid w:val="666E4CF1"/>
    <w:rsid w:val="67FF8714"/>
    <w:rsid w:val="68FC2900"/>
    <w:rsid w:val="6EBD10DA"/>
    <w:rsid w:val="72101EA0"/>
    <w:rsid w:val="76242EBA"/>
    <w:rsid w:val="777642FF"/>
    <w:rsid w:val="7BA79729"/>
    <w:rsid w:val="7DA85FB5"/>
    <w:rsid w:val="7E9E46CB"/>
    <w:rsid w:val="7FA254FA"/>
    <w:rsid w:val="7FDF1A7A"/>
    <w:rsid w:val="CF744B55"/>
    <w:rsid w:val="DE5ED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qFormat/>
    <w:uiPriority w:val="0"/>
    <w:pPr>
      <w:keepNext/>
      <w:keepLines/>
      <w:widowControl/>
      <w:snapToGrid w:val="0"/>
      <w:spacing w:line="360" w:lineRule="auto"/>
      <w:ind w:left="-6" w:hanging="11"/>
      <w:jc w:val="left"/>
      <w:outlineLvl w:val="1"/>
    </w:pPr>
    <w:rPr>
      <w:rFonts w:ascii="Arial" w:hAnsi="Arial"/>
      <w:b/>
      <w:sz w:val="24"/>
    </w:rPr>
  </w:style>
  <w:style w:type="paragraph" w:styleId="6">
    <w:name w:val="heading 3"/>
    <w:basedOn w:val="1"/>
    <w:next w:val="1"/>
    <w:qFormat/>
    <w:uiPriority w:val="0"/>
    <w:pPr>
      <w:keepNext/>
      <w:spacing w:before="100" w:beforeLines="100" w:line="360" w:lineRule="auto"/>
      <w:outlineLvl w:val="2"/>
    </w:pPr>
    <w:rPr>
      <w:b/>
    </w:rPr>
  </w:style>
  <w:style w:type="character" w:default="1" w:styleId="20">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33"/>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3">
    <w:name w:val="Body Text"/>
    <w:basedOn w:val="1"/>
    <w:next w:val="1"/>
    <w:link w:val="32"/>
    <w:qFormat/>
    <w:uiPriority w:val="0"/>
    <w:pPr>
      <w:pBdr>
        <w:top w:val="single" w:color="auto" w:sz="12" w:space="1"/>
        <w:left w:val="single" w:color="auto" w:sz="12" w:space="4"/>
        <w:bottom w:val="single" w:color="auto" w:sz="12" w:space="1"/>
        <w:right w:val="single" w:color="auto" w:sz="12" w:space="4"/>
      </w:pBdr>
    </w:pPr>
    <w:rPr>
      <w:sz w:val="30"/>
    </w:rPr>
  </w:style>
  <w:style w:type="paragraph" w:styleId="7">
    <w:name w:val="annotation subject"/>
    <w:basedOn w:val="8"/>
    <w:next w:val="8"/>
    <w:link w:val="29"/>
    <w:qFormat/>
    <w:uiPriority w:val="0"/>
    <w:rPr>
      <w:b/>
      <w:bCs/>
    </w:rPr>
  </w:style>
  <w:style w:type="paragraph" w:styleId="8">
    <w:name w:val="annotation text"/>
    <w:basedOn w:val="1"/>
    <w:link w:val="30"/>
    <w:qFormat/>
    <w:uiPriority w:val="0"/>
    <w:pPr>
      <w:jc w:val="left"/>
    </w:pPr>
  </w:style>
  <w:style w:type="paragraph" w:styleId="9">
    <w:name w:val="Body Text Indent"/>
    <w:basedOn w:val="1"/>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9"/>
    <w:qFormat/>
    <w:uiPriority w:val="0"/>
    <w:pPr>
      <w:spacing w:line="440" w:lineRule="exact"/>
      <w:ind w:firstLine="100" w:firstLineChars="100"/>
    </w:pPr>
    <w:rPr>
      <w:rFonts w:ascii="宋体" w:hAnsi="Courier New" w:cs="Courier New"/>
      <w:szCs w:val="21"/>
    </w:rPr>
  </w:style>
  <w:style w:type="paragraph" w:styleId="12">
    <w:name w:val="Body Text Indent 2"/>
    <w:basedOn w:val="1"/>
    <w:qFormat/>
    <w:uiPriority w:val="0"/>
    <w:pPr>
      <w:ind w:firstLine="560" w:firstLineChars="200"/>
    </w:pPr>
    <w:rPr>
      <w:sz w:val="28"/>
    </w:rPr>
  </w:style>
  <w:style w:type="paragraph" w:styleId="13">
    <w:name w:val="Balloon Text"/>
    <w:basedOn w:val="1"/>
    <w:semiHidden/>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Body Text First Indent 2"/>
    <w:basedOn w:val="9"/>
    <w:next w:val="12"/>
    <w:qFormat/>
    <w:uiPriority w:val="0"/>
    <w:pPr>
      <w:spacing w:after="120" w:line="440" w:lineRule="exact"/>
      <w:ind w:left="420" w:leftChars="200" w:firstLine="420"/>
    </w:pPr>
    <w:rPr>
      <w:rFonts w:ascii="Calibri" w:hAnsi="Calibri"/>
    </w:rPr>
  </w:style>
  <w:style w:type="paragraph" w:styleId="16">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Calibri" w:hAnsi="Calibri"/>
      <w:szCs w:val="22"/>
    </w:rPr>
  </w:style>
  <w:style w:type="paragraph" w:styleId="18">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9">
    <w:name w:val="Title"/>
    <w:basedOn w:val="1"/>
    <w:next w:val="1"/>
    <w:link w:val="41"/>
    <w:qFormat/>
    <w:uiPriority w:val="10"/>
    <w:pPr>
      <w:spacing w:before="240" w:after="60"/>
      <w:jc w:val="center"/>
      <w:outlineLvl w:val="0"/>
    </w:pPr>
    <w:rPr>
      <w:rFonts w:asciiTheme="majorHAnsi" w:hAnsiTheme="majorHAnsi" w:cstheme="majorBidi"/>
      <w:b/>
      <w:bCs/>
      <w:sz w:val="32"/>
      <w:szCs w:val="32"/>
    </w:rPr>
  </w:style>
  <w:style w:type="character" w:styleId="21">
    <w:name w:val="Strong"/>
    <w:qFormat/>
    <w:uiPriority w:val="0"/>
    <w:rPr>
      <w:b/>
      <w:bCs/>
    </w:rPr>
  </w:style>
  <w:style w:type="character" w:styleId="22">
    <w:name w:val="page number"/>
    <w:basedOn w:val="20"/>
    <w:qFormat/>
    <w:uiPriority w:val="99"/>
  </w:style>
  <w:style w:type="character" w:styleId="23">
    <w:name w:val="Hyperlink"/>
    <w:qFormat/>
    <w:uiPriority w:val="99"/>
    <w:rPr>
      <w:color w:val="0563C1"/>
      <w:u w:val="single"/>
    </w:rPr>
  </w:style>
  <w:style w:type="character" w:styleId="24">
    <w:name w:val="annotation reference"/>
    <w:qFormat/>
    <w:uiPriority w:val="0"/>
    <w:rPr>
      <w:sz w:val="21"/>
      <w:szCs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列表段落1"/>
    <w:basedOn w:val="1"/>
    <w:qFormat/>
    <w:uiPriority w:val="34"/>
    <w:pPr>
      <w:ind w:firstLine="420" w:firstLineChars="200"/>
    </w:pPr>
    <w:rPr>
      <w:rFonts w:ascii="Calibri" w:hAnsi="Calibri"/>
      <w:szCs w:val="22"/>
    </w:rPr>
  </w:style>
  <w:style w:type="paragraph" w:customStyle="1" w:styleId="28">
    <w:name w:val="_Style 21"/>
    <w:semiHidden/>
    <w:qFormat/>
    <w:uiPriority w:val="99"/>
    <w:rPr>
      <w:rFonts w:ascii="Times New Roman" w:hAnsi="Times New Roman" w:eastAsia="宋体" w:cs="Times New Roman"/>
      <w:kern w:val="2"/>
      <w:sz w:val="21"/>
      <w:szCs w:val="24"/>
      <w:lang w:val="en-US" w:eastAsia="zh-CN" w:bidi="ar-SA"/>
    </w:rPr>
  </w:style>
  <w:style w:type="character" w:customStyle="1" w:styleId="29">
    <w:name w:val="批注主题 字符"/>
    <w:link w:val="7"/>
    <w:qFormat/>
    <w:uiPriority w:val="0"/>
    <w:rPr>
      <w:b/>
      <w:bCs/>
      <w:kern w:val="2"/>
      <w:sz w:val="21"/>
      <w:szCs w:val="24"/>
    </w:rPr>
  </w:style>
  <w:style w:type="character" w:customStyle="1" w:styleId="30">
    <w:name w:val="批注文字 字符"/>
    <w:link w:val="8"/>
    <w:qFormat/>
    <w:uiPriority w:val="0"/>
    <w:rPr>
      <w:kern w:val="2"/>
      <w:sz w:val="21"/>
      <w:szCs w:val="24"/>
    </w:rPr>
  </w:style>
  <w:style w:type="character" w:customStyle="1" w:styleId="31">
    <w:name w:val="标题 2 字符"/>
    <w:link w:val="5"/>
    <w:qFormat/>
    <w:uiPriority w:val="0"/>
    <w:rPr>
      <w:rFonts w:ascii="Arial" w:hAnsi="Arial"/>
      <w:b/>
      <w:kern w:val="2"/>
      <w:sz w:val="24"/>
      <w:szCs w:val="24"/>
    </w:rPr>
  </w:style>
  <w:style w:type="character" w:customStyle="1" w:styleId="32">
    <w:name w:val="正文文本 字符"/>
    <w:link w:val="3"/>
    <w:qFormat/>
    <w:uiPriority w:val="0"/>
    <w:rPr>
      <w:kern w:val="2"/>
      <w:sz w:val="30"/>
      <w:szCs w:val="24"/>
    </w:rPr>
  </w:style>
  <w:style w:type="character" w:customStyle="1" w:styleId="33">
    <w:name w:val="正文文本首行缩进 字符"/>
    <w:link w:val="2"/>
    <w:qFormat/>
    <w:uiPriority w:val="99"/>
    <w:rPr>
      <w:rFonts w:ascii="Calibri" w:hAnsi="Calibri"/>
      <w:kern w:val="2"/>
      <w:sz w:val="21"/>
      <w:szCs w:val="24"/>
    </w:rPr>
  </w:style>
  <w:style w:type="character" w:customStyle="1" w:styleId="34">
    <w:name w:val="标题 1 字符"/>
    <w:link w:val="4"/>
    <w:qFormat/>
    <w:uiPriority w:val="9"/>
    <w:rPr>
      <w:b/>
      <w:bCs/>
      <w:kern w:val="44"/>
      <w:sz w:val="44"/>
      <w:szCs w:val="44"/>
    </w:rPr>
  </w:style>
  <w:style w:type="table" w:customStyle="1" w:styleId="35">
    <w:name w:val="网格型1"/>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6">
    <w:name w:val="页脚 字符"/>
    <w:basedOn w:val="20"/>
    <w:link w:val="14"/>
    <w:qFormat/>
    <w:uiPriority w:val="99"/>
    <w:rPr>
      <w:kern w:val="2"/>
      <w:sz w:val="18"/>
      <w:szCs w:val="18"/>
    </w:rPr>
  </w:style>
  <w:style w:type="character" w:customStyle="1" w:styleId="37">
    <w:name w:val="页眉 字符"/>
    <w:link w:val="16"/>
    <w:qFormat/>
    <w:uiPriority w:val="0"/>
    <w:rPr>
      <w:kern w:val="2"/>
      <w:sz w:val="18"/>
      <w:szCs w:val="18"/>
    </w:rPr>
  </w:style>
  <w:style w:type="character" w:customStyle="1" w:styleId="38">
    <w:name w:val="页脚 Char1"/>
    <w:qFormat/>
    <w:uiPriority w:val="0"/>
    <w:rPr>
      <w:rFonts w:eastAsia="宋体"/>
      <w:kern w:val="2"/>
      <w:sz w:val="18"/>
      <w:szCs w:val="18"/>
      <w:lang w:val="en-US" w:eastAsia="zh-CN" w:bidi="ar-SA"/>
    </w:rPr>
  </w:style>
  <w:style w:type="character" w:customStyle="1" w:styleId="39">
    <w:name w:val="纯文本 字符"/>
    <w:link w:val="11"/>
    <w:qFormat/>
    <w:uiPriority w:val="0"/>
    <w:rPr>
      <w:rFonts w:ascii="宋体" w:hAnsi="Courier New" w:cs="Courier New"/>
      <w:kern w:val="2"/>
      <w:sz w:val="21"/>
      <w:szCs w:val="21"/>
    </w:rPr>
  </w:style>
  <w:style w:type="character" w:customStyle="1" w:styleId="40">
    <w:name w:val="纯文本 Char1"/>
    <w:basedOn w:val="20"/>
    <w:qFormat/>
    <w:uiPriority w:val="0"/>
    <w:rPr>
      <w:rFonts w:ascii="宋体" w:hAnsi="Courier New" w:cs="Courier New"/>
      <w:kern w:val="2"/>
      <w:sz w:val="21"/>
      <w:szCs w:val="21"/>
    </w:rPr>
  </w:style>
  <w:style w:type="character" w:customStyle="1" w:styleId="41">
    <w:name w:val="标题 字符"/>
    <w:basedOn w:val="20"/>
    <w:link w:val="19"/>
    <w:qFormat/>
    <w:uiPriority w:val="10"/>
    <w:rPr>
      <w:rFonts w:asciiTheme="majorHAnsi" w:hAnsiTheme="majorHAnsi" w:cstheme="majorBidi"/>
      <w:b/>
      <w:bCs/>
      <w:kern w:val="2"/>
      <w:sz w:val="32"/>
      <w:szCs w:val="32"/>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43">
    <w:name w:val="网格型2"/>
    <w:basedOn w:val="25"/>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4">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45">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8">
    <w:name w:val="Unresolved Mention"/>
    <w:basedOn w:val="20"/>
    <w:unhideWhenUsed/>
    <w:qFormat/>
    <w:uiPriority w:val="99"/>
    <w:rPr>
      <w:color w:val="605E5C"/>
      <w:shd w:val="clear" w:color="auto" w:fill="E1DFDD"/>
    </w:rPr>
  </w:style>
  <w:style w:type="paragraph" w:customStyle="1" w:styleId="49">
    <w:name w:val="List Paragraph"/>
    <w:basedOn w:val="1"/>
    <w:unhideWhenUsed/>
    <w:qFormat/>
    <w:uiPriority w:val="99"/>
    <w:pPr>
      <w:ind w:firstLine="420" w:firstLineChars="200"/>
    </w:pPr>
    <w:rPr>
      <w:rFonts w:asciiTheme="minorHAnsi" w:hAnsiTheme="minorHAnsi" w:eastAsiaTheme="minorEastAsia" w:cstheme="minorBidi"/>
      <w:szCs w:val="22"/>
    </w:rPr>
  </w:style>
  <w:style w:type="paragraph" w:customStyle="1" w:styleId="50">
    <w:name w:val="纯文本1"/>
    <w:basedOn w:val="1"/>
    <w:qFormat/>
    <w:uiPriority w:val="0"/>
    <w:pPr>
      <w:widowControl/>
      <w:jc w:val="left"/>
    </w:pPr>
    <w:rPr>
      <w:rFonts w:ascii="宋体" w:hAnsi="Courier New"/>
      <w:kern w:val="0"/>
      <w:sz w:val="20"/>
      <w:szCs w:val="21"/>
    </w:rPr>
  </w:style>
  <w:style w:type="paragraph" w:customStyle="1" w:styleId="5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DT</Company>
  <Pages>34</Pages>
  <Words>2977</Words>
  <Characters>16974</Characters>
  <Lines>141</Lines>
  <Paragraphs>39</Paragraphs>
  <ScaleCrop>false</ScaleCrop>
  <LinksUpToDate>false</LinksUpToDate>
  <CharactersWithSpaces>19912</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2022-05-11T16:26:00Z</dcterms:created>
  <dc:creator>SXL</dc:creator>
  <cp:lastModifiedBy>尚婷</cp:lastModifiedBy>
  <cp:lastPrinted>2022-05-30T11:39:00Z</cp:lastPrinted>
  <dcterms:modified xsi:type="dcterms:W3CDTF">2022-07-13T03:31:01Z</dcterms:modified>
  <dc:title>合同登记编号：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8CD99433873CF53A97D598625FA86F20</vt:lpwstr>
  </property>
</Properties>
</file>