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pacing w:val="20"/>
          <w:sz w:val="48"/>
          <w:szCs w:val="84"/>
        </w:rPr>
      </w:pPr>
    </w:p>
    <w:p>
      <w:pPr>
        <w:jc w:val="center"/>
        <w:rPr>
          <w:rFonts w:ascii="宋体" w:hAnsi="宋体"/>
          <w:b/>
          <w:bCs/>
          <w:spacing w:val="20"/>
          <w:sz w:val="48"/>
          <w:szCs w:val="84"/>
        </w:rPr>
      </w:pPr>
      <w:r>
        <w:rPr>
          <w:rFonts w:hint="eastAsia" w:ascii="宋体" w:hAnsi="宋体"/>
          <w:b/>
          <w:bCs/>
          <w:spacing w:val="20"/>
          <w:sz w:val="48"/>
          <w:szCs w:val="84"/>
        </w:rPr>
        <w:t>浙江幸福轨道公司2</w:t>
      </w:r>
      <w:r>
        <w:rPr>
          <w:rFonts w:ascii="宋体" w:hAnsi="宋体"/>
          <w:b/>
          <w:bCs/>
          <w:spacing w:val="20"/>
          <w:sz w:val="48"/>
          <w:szCs w:val="84"/>
        </w:rPr>
        <w:t>022</w:t>
      </w:r>
      <w:r>
        <w:rPr>
          <w:rFonts w:hint="eastAsia" w:ascii="宋体" w:hAnsi="宋体"/>
          <w:b/>
          <w:bCs/>
          <w:spacing w:val="20"/>
          <w:sz w:val="48"/>
          <w:szCs w:val="84"/>
        </w:rPr>
        <w:t>年度工器具采购项目</w:t>
      </w:r>
    </w:p>
    <w:p>
      <w:pPr>
        <w:jc w:val="center"/>
        <w:rPr>
          <w:rFonts w:ascii="宋体" w:hAnsi="宋体"/>
          <w:b/>
          <w:bCs/>
          <w:spacing w:val="140"/>
          <w:sz w:val="72"/>
        </w:rPr>
      </w:pPr>
    </w:p>
    <w:p>
      <w:pPr>
        <w:adjustRightInd w:val="0"/>
        <w:snapToGrid w:val="0"/>
        <w:spacing w:line="480" w:lineRule="auto"/>
        <w:ind w:right="361"/>
        <w:jc w:val="center"/>
        <w:rPr>
          <w:rFonts w:ascii="宋体" w:hAnsi="宋体"/>
          <w:b/>
          <w:bCs/>
          <w:sz w:val="72"/>
          <w:szCs w:val="84"/>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w:t>
      </w:r>
      <w:r>
        <w:rPr>
          <w:rFonts w:ascii="宋体" w:hAnsi="宋体"/>
          <w:b/>
          <w:bCs/>
          <w:sz w:val="72"/>
          <w:szCs w:val="84"/>
        </w:rPr>
        <w:t xml:space="preserve">  </w:t>
      </w:r>
      <w:r>
        <w:rPr>
          <w:rFonts w:hint="eastAsia" w:ascii="宋体" w:hAnsi="宋体"/>
          <w:b/>
          <w:bCs/>
          <w:sz w:val="72"/>
          <w:szCs w:val="84"/>
        </w:rPr>
        <w:t>比  文</w:t>
      </w:r>
      <w:r>
        <w:rPr>
          <w:rFonts w:ascii="宋体" w:hAnsi="宋体"/>
          <w:b/>
          <w:bCs/>
          <w:sz w:val="72"/>
          <w:szCs w:val="84"/>
        </w:rPr>
        <w:t xml:space="preserve">  </w:t>
      </w:r>
      <w:r>
        <w:rPr>
          <w:rFonts w:hint="eastAsia" w:ascii="宋体" w:hAnsi="宋体"/>
          <w:b/>
          <w:bCs/>
          <w:sz w:val="72"/>
          <w:szCs w:val="84"/>
        </w:rPr>
        <w:t>件</w:t>
      </w:r>
    </w:p>
    <w:p>
      <w:pPr>
        <w:rPr>
          <w:rFonts w:ascii="宋体" w:hAnsi="宋体"/>
          <w:b/>
          <w:bCs/>
          <w:sz w:val="24"/>
        </w:rPr>
      </w:pPr>
    </w:p>
    <w:p>
      <w:pPr>
        <w:pStyle w:val="2"/>
        <w:ind w:firstLine="210"/>
      </w:pPr>
    </w:p>
    <w:p>
      <w:pPr>
        <w:ind w:left="1888" w:leftChars="899" w:firstLine="210" w:firstLineChars="87"/>
        <w:rPr>
          <w:rFonts w:ascii="宋体" w:hAnsi="宋体"/>
          <w:b/>
          <w:bCs/>
          <w:sz w:val="24"/>
        </w:rPr>
      </w:pPr>
    </w:p>
    <w:p>
      <w:pPr>
        <w:spacing w:line="600" w:lineRule="exact"/>
        <w:ind w:firstLine="1800" w:firstLineChars="500"/>
        <w:rPr>
          <w:rFonts w:ascii="宋体" w:hAnsi="宋体"/>
          <w:spacing w:val="30"/>
          <w:sz w:val="30"/>
          <w:szCs w:val="30"/>
        </w:rPr>
      </w:pPr>
      <w:r>
        <w:rPr>
          <w:rFonts w:hint="eastAsia" w:ascii="宋体" w:hAnsi="宋体"/>
          <w:spacing w:val="30"/>
          <w:sz w:val="30"/>
          <w:szCs w:val="30"/>
        </w:rPr>
        <w:t>项 目 编 号：CG22-096HW</w:t>
      </w:r>
    </w:p>
    <w:p>
      <w:pPr>
        <w:spacing w:line="600" w:lineRule="exact"/>
        <w:ind w:firstLine="1800" w:firstLineChars="500"/>
        <w:rPr>
          <w:rFonts w:ascii="宋体" w:hAnsi="宋体"/>
          <w:spacing w:val="40"/>
          <w:sz w:val="30"/>
          <w:szCs w:val="30"/>
        </w:rPr>
      </w:pPr>
      <w:r>
        <w:rPr>
          <w:rFonts w:hint="eastAsia" w:ascii="宋体" w:hAnsi="宋体"/>
          <w:spacing w:val="30"/>
          <w:sz w:val="30"/>
          <w:szCs w:val="30"/>
        </w:rPr>
        <w:t>采 购 方 式：询比采购</w:t>
      </w:r>
    </w:p>
    <w:p>
      <w:pPr>
        <w:spacing w:line="220" w:lineRule="exact"/>
        <w:ind w:firstLine="1140" w:firstLineChars="300"/>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pStyle w:val="2"/>
        <w:ind w:firstLine="0" w:firstLineChars="0"/>
      </w:pPr>
    </w:p>
    <w:p>
      <w:pPr>
        <w:pStyle w:val="2"/>
        <w:ind w:firstLine="210"/>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600" w:lineRule="exact"/>
        <w:jc w:val="center"/>
        <w:rPr>
          <w:rFonts w:ascii="宋体" w:hAnsi="宋体"/>
          <w:b/>
          <w:spacing w:val="40"/>
          <w:sz w:val="30"/>
        </w:rPr>
      </w:pPr>
      <w:r>
        <w:rPr>
          <w:rFonts w:hint="eastAsia" w:ascii="宋体" w:hAnsi="宋体"/>
          <w:b/>
          <w:spacing w:val="20"/>
          <w:sz w:val="30"/>
        </w:rPr>
        <w:t>采购人：</w:t>
      </w:r>
      <w:r>
        <w:rPr>
          <w:rFonts w:hint="eastAsia" w:ascii="宋体" w:hAnsi="宋体"/>
          <w:b/>
          <w:sz w:val="30"/>
        </w:rPr>
        <w:t>浙江</w:t>
      </w:r>
      <w:r>
        <w:rPr>
          <w:rFonts w:ascii="宋体" w:hAnsi="宋体"/>
          <w:b/>
          <w:sz w:val="30"/>
        </w:rPr>
        <w:t>幸福轨道交通运营管理有限公司</w:t>
      </w:r>
    </w:p>
    <w:p>
      <w:pPr>
        <w:jc w:val="center"/>
        <w:rPr>
          <w:rFonts w:ascii="宋体" w:hAnsi="宋体"/>
          <w:b/>
          <w:spacing w:val="40"/>
          <w:sz w:val="30"/>
          <w:szCs w:val="30"/>
        </w:rPr>
      </w:pPr>
      <w:r>
        <w:rPr>
          <w:rFonts w:hint="eastAsia" w:ascii="宋体" w:hAnsi="宋体"/>
          <w:b/>
          <w:spacing w:val="40"/>
          <w:sz w:val="30"/>
          <w:szCs w:val="30"/>
        </w:rPr>
        <w:t>二零</w:t>
      </w:r>
      <w:r>
        <w:rPr>
          <w:rFonts w:ascii="宋体" w:hAnsi="宋体"/>
          <w:b/>
          <w:spacing w:val="40"/>
          <w:sz w:val="30"/>
          <w:szCs w:val="30"/>
        </w:rPr>
        <w:t>二</w:t>
      </w:r>
      <w:r>
        <w:rPr>
          <w:rFonts w:hint="eastAsia" w:ascii="宋体" w:hAnsi="宋体"/>
          <w:b/>
          <w:spacing w:val="40"/>
          <w:sz w:val="30"/>
          <w:szCs w:val="30"/>
        </w:rPr>
        <w:t>二年四月</w:t>
      </w: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r>
        <w:rPr>
          <w:rFonts w:hint="eastAsia" w:ascii="方正小标宋简体" w:eastAsia="方正小标宋简体"/>
          <w:sz w:val="36"/>
          <w:szCs w:val="36"/>
        </w:rPr>
        <w:t>询比采购文件</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第一章 采购公告</w:t>
      </w:r>
    </w:p>
    <w:p>
      <w:pPr>
        <w:spacing w:line="380" w:lineRule="exact"/>
        <w:ind w:firstLine="472" w:firstLineChars="225"/>
        <w:rPr>
          <w:rFonts w:ascii="仿宋_GB2312" w:hAnsi="仿宋_GB2312" w:eastAsia="仿宋_GB2312" w:cs="仿宋_GB2312"/>
          <w:bCs/>
          <w:szCs w:val="21"/>
        </w:rPr>
      </w:pPr>
      <w:r>
        <w:rPr>
          <w:rFonts w:hint="eastAsia" w:ascii="仿宋_GB2312" w:hAnsi="仿宋_GB2312" w:eastAsia="仿宋_GB2312" w:cs="仿宋_GB2312"/>
          <w:bCs/>
          <w:szCs w:val="21"/>
        </w:rPr>
        <w:t>根据我单位采购计划安排，现拟采用</w:t>
      </w:r>
      <w:r>
        <w:rPr>
          <w:rFonts w:hint="eastAsia" w:ascii="仿宋_GB2312" w:hAnsi="仿宋_GB2312" w:eastAsia="仿宋_GB2312" w:cs="仿宋_GB2312"/>
          <w:bCs/>
          <w:szCs w:val="21"/>
          <w:u w:val="single"/>
        </w:rPr>
        <w:t>询比</w:t>
      </w:r>
      <w:r>
        <w:rPr>
          <w:rFonts w:hint="eastAsia" w:ascii="仿宋_GB2312" w:hAnsi="仿宋_GB2312" w:eastAsia="仿宋_GB2312" w:cs="仿宋_GB2312"/>
          <w:bCs/>
          <w:szCs w:val="21"/>
        </w:rPr>
        <w:t>方式采购</w:t>
      </w:r>
      <w:r>
        <w:rPr>
          <w:rFonts w:hint="eastAsia" w:ascii="仿宋_GB2312" w:hAnsi="仿宋_GB2312" w:eastAsia="仿宋_GB2312" w:cs="仿宋_GB2312"/>
          <w:color w:val="000000" w:themeColor="text1"/>
          <w:szCs w:val="21"/>
          <w:u w:val="single"/>
          <w14:textFill>
            <w14:solidFill>
              <w14:schemeClr w14:val="tx1"/>
            </w14:solidFill>
          </w14:textFill>
        </w:rPr>
        <w:t>浙江幸福轨道公司2022年度工器具采购项目</w:t>
      </w:r>
      <w:r>
        <w:rPr>
          <w:rFonts w:hint="eastAsia" w:ascii="仿宋_GB2312" w:hAnsi="仿宋_GB2312" w:eastAsia="仿宋_GB2312" w:cs="仿宋_GB2312"/>
          <w:bCs/>
          <w:szCs w:val="21"/>
        </w:rPr>
        <w:t>，欢迎合格的供应商前来报价。</w:t>
      </w:r>
    </w:p>
    <w:p>
      <w:pPr>
        <w:numPr>
          <w:ilvl w:val="0"/>
          <w:numId w:val="1"/>
        </w:numPr>
        <w:spacing w:line="380" w:lineRule="exact"/>
        <w:outlineLvl w:val="1"/>
        <w:rPr>
          <w:rFonts w:ascii="仿宋_GB2312" w:hAnsi="宋体" w:eastAsia="仿宋_GB2312"/>
          <w:szCs w:val="21"/>
        </w:rPr>
      </w:pPr>
      <w:r>
        <w:rPr>
          <w:rFonts w:hint="eastAsia" w:ascii="仿宋_GB2312" w:hAnsi="宋体" w:eastAsia="仿宋_GB2312"/>
          <w:szCs w:val="21"/>
        </w:rPr>
        <w:t>采购项目概况：</w:t>
      </w:r>
    </w:p>
    <w:p>
      <w:pPr>
        <w:pStyle w:val="46"/>
        <w:spacing w:line="380" w:lineRule="exact"/>
        <w:rPr>
          <w:rFonts w:ascii="仿宋_GB2312" w:hAnsi="仿宋_GB2312" w:eastAsia="仿宋_GB2312" w:cs="仿宋_GB2312"/>
          <w:szCs w:val="21"/>
        </w:rPr>
      </w:pPr>
      <w:r>
        <w:rPr>
          <w:rFonts w:hint="eastAsia" w:ascii="仿宋_GB2312" w:hAnsi="仿宋_GB2312" w:eastAsia="仿宋_GB2312" w:cs="仿宋_GB2312"/>
          <w:szCs w:val="21"/>
        </w:rPr>
        <w:t>采购人：浙江幸福轨道交通运营管理有限公司</w:t>
      </w:r>
    </w:p>
    <w:p>
      <w:pPr>
        <w:pStyle w:val="46"/>
        <w:spacing w:line="380" w:lineRule="exact"/>
        <w:rPr>
          <w:rFonts w:ascii="仿宋_GB2312" w:hAnsi="仿宋_GB2312" w:eastAsia="仿宋_GB2312" w:cs="仿宋_GB2312"/>
          <w:szCs w:val="21"/>
        </w:rPr>
      </w:pPr>
      <w:r>
        <w:rPr>
          <w:rFonts w:hint="eastAsia" w:ascii="仿宋_GB2312" w:hAnsi="仿宋_GB2312" w:eastAsia="仿宋_GB2312" w:cs="仿宋_GB2312"/>
          <w:szCs w:val="21"/>
        </w:rPr>
        <w:t>采购项目：</w:t>
      </w:r>
      <w:r>
        <w:rPr>
          <w:rFonts w:hint="eastAsia" w:ascii="仿宋_GB2312" w:hAnsi="仿宋_GB2312" w:eastAsia="仿宋_GB2312" w:cs="仿宋_GB2312"/>
          <w:color w:val="000000" w:themeColor="text1"/>
          <w:szCs w:val="21"/>
          <w:u w:val="single"/>
          <w14:textFill>
            <w14:solidFill>
              <w14:schemeClr w14:val="tx1"/>
            </w14:solidFill>
          </w14:textFill>
        </w:rPr>
        <w:t>浙江幸福轨道公司2022年度工器具采购项目</w:t>
      </w:r>
      <w:r>
        <w:rPr>
          <w:rFonts w:hint="eastAsia" w:ascii="仿宋_GB2312" w:hAnsi="仿宋_GB2312" w:eastAsia="仿宋_GB2312" w:cs="仿宋_GB2312"/>
          <w:szCs w:val="21"/>
        </w:rPr>
        <w:t>，采购控制价47万。</w:t>
      </w:r>
    </w:p>
    <w:p>
      <w:pPr>
        <w:pStyle w:val="46"/>
        <w:spacing w:line="380" w:lineRule="exact"/>
        <w:rPr>
          <w:rFonts w:ascii="仿宋_GB2312" w:hAnsi="仿宋_GB2312" w:eastAsia="仿宋_GB2312" w:cs="仿宋_GB2312"/>
          <w:szCs w:val="21"/>
        </w:rPr>
      </w:pPr>
      <w:r>
        <w:rPr>
          <w:rFonts w:hint="eastAsia" w:ascii="仿宋_GB2312" w:hAnsi="仿宋_GB2312" w:eastAsia="仿宋_GB2312" w:cs="仿宋_GB2312"/>
          <w:szCs w:val="21"/>
        </w:rPr>
        <w:t>采购内容：详见采购需求。</w:t>
      </w:r>
    </w:p>
    <w:p>
      <w:pPr>
        <w:numPr>
          <w:ilvl w:val="0"/>
          <w:numId w:val="1"/>
        </w:numPr>
        <w:spacing w:line="380" w:lineRule="exact"/>
        <w:outlineLvl w:val="1"/>
        <w:rPr>
          <w:rFonts w:ascii="仿宋_GB2312" w:hAnsi="宋体" w:eastAsia="仿宋_GB2312"/>
          <w:szCs w:val="21"/>
        </w:rPr>
      </w:pPr>
      <w:r>
        <w:rPr>
          <w:rFonts w:hint="eastAsia" w:ascii="仿宋_GB2312" w:hAnsi="宋体" w:eastAsia="仿宋_GB2312"/>
          <w:szCs w:val="21"/>
        </w:rPr>
        <w:t xml:space="preserve">供应商资格要求 </w:t>
      </w:r>
    </w:p>
    <w:p>
      <w:pPr>
        <w:pStyle w:val="46"/>
        <w:spacing w:line="380" w:lineRule="exact"/>
        <w:ind w:left="425" w:firstLine="0" w:firstLineChars="0"/>
        <w:rPr>
          <w:rFonts w:ascii="仿宋_GB2312" w:hAnsi="仿宋_GB2312" w:eastAsia="仿宋_GB2312" w:cs="仿宋_GB2312"/>
          <w:szCs w:val="21"/>
        </w:rPr>
      </w:pPr>
      <w:r>
        <w:rPr>
          <w:rFonts w:hint="eastAsia" w:ascii="仿宋_GB2312" w:hAnsi="仿宋_GB2312" w:eastAsia="仿宋_GB2312" w:cs="仿宋_GB2312"/>
          <w:szCs w:val="21"/>
        </w:rPr>
        <w:t xml:space="preserve">1.供应商应具有独立承担民事责任的能力。 </w:t>
      </w:r>
    </w:p>
    <w:p>
      <w:pPr>
        <w:spacing w:line="380" w:lineRule="exact"/>
        <w:ind w:left="425"/>
        <w:rPr>
          <w:rFonts w:ascii="仿宋_GB2312" w:hAnsi="仿宋_GB2312" w:eastAsia="仿宋_GB2312" w:cs="仿宋_GB2312"/>
          <w:szCs w:val="21"/>
        </w:rPr>
      </w:pPr>
      <w:r>
        <w:rPr>
          <w:rFonts w:hint="eastAsia" w:ascii="仿宋_GB2312" w:hAnsi="仿宋_GB2312" w:eastAsia="仿宋_GB2312" w:cs="仿宋_GB2312"/>
          <w:szCs w:val="21"/>
        </w:rPr>
        <w:t>2.未被人民法院列入失信被执行人、重大税收违法案件当事人名单提供“信用中国”网站（www.creditchina.gov.cn)供应商信用记录截图（截止至项目公告时间）；</w:t>
      </w:r>
    </w:p>
    <w:p>
      <w:pPr>
        <w:pStyle w:val="46"/>
        <w:spacing w:line="380" w:lineRule="exact"/>
        <w:ind w:left="425" w:firstLine="0" w:firstLineChars="0"/>
        <w:rPr>
          <w:rFonts w:ascii="仿宋_GB2312" w:hAnsi="仿宋_GB2312" w:eastAsia="仿宋_GB2312" w:cs="仿宋_GB2312"/>
          <w:szCs w:val="21"/>
        </w:rPr>
      </w:pPr>
      <w:r>
        <w:rPr>
          <w:rFonts w:hint="eastAsia" w:ascii="仿宋_GB2312" w:hAnsi="仿宋_GB2312" w:eastAsia="仿宋_GB2312" w:cs="仿宋_GB2312"/>
          <w:szCs w:val="21"/>
        </w:rPr>
        <w:t>3.本项目拒绝联合体参与报价。</w:t>
      </w:r>
    </w:p>
    <w:p>
      <w:pPr>
        <w:numPr>
          <w:ilvl w:val="0"/>
          <w:numId w:val="1"/>
        </w:numPr>
        <w:spacing w:line="380" w:lineRule="exact"/>
        <w:outlineLvl w:val="1"/>
        <w:rPr>
          <w:rFonts w:ascii="仿宋_GB2312" w:hAnsi="宋体" w:eastAsia="仿宋_GB2312"/>
          <w:szCs w:val="21"/>
        </w:rPr>
      </w:pPr>
      <w:r>
        <w:rPr>
          <w:rFonts w:hint="eastAsia" w:ascii="仿宋_GB2312" w:hAnsi="宋体" w:eastAsia="仿宋_GB2312"/>
          <w:szCs w:val="21"/>
        </w:rPr>
        <w:t>获取采购文件的方式、时间及售价:</w:t>
      </w:r>
    </w:p>
    <w:p>
      <w:pPr>
        <w:spacing w:line="380" w:lineRule="exact"/>
        <w:ind w:firstLine="420" w:firstLineChars="200"/>
        <w:rPr>
          <w:rFonts w:ascii="仿宋_GB2312" w:hAnsi="仿宋_GB2312" w:eastAsia="仿宋_GB2312" w:cs="仿宋_GB2312"/>
          <w:b/>
          <w:szCs w:val="21"/>
        </w:rPr>
      </w:pPr>
      <w:r>
        <w:rPr>
          <w:rFonts w:hint="eastAsia" w:ascii="仿宋_GB2312" w:hAnsi="仿宋_GB2312" w:eastAsia="仿宋_GB2312" w:cs="仿宋_GB2312"/>
          <w:szCs w:val="21"/>
        </w:rPr>
        <w:t>1.发售时间：</w:t>
      </w:r>
      <w:r>
        <w:rPr>
          <w:rFonts w:hint="eastAsia" w:ascii="仿宋_GB2312" w:hAnsi="仿宋_GB2312" w:eastAsia="仿宋_GB2312" w:cs="仿宋_GB2312"/>
          <w:szCs w:val="21"/>
          <w:highlight w:val="yellow"/>
          <w:u w:val="single"/>
        </w:rPr>
        <w:t>2022年</w:t>
      </w:r>
      <w:r>
        <w:rPr>
          <w:rFonts w:hint="eastAsia" w:ascii="仿宋_GB2312" w:hAnsi="仿宋_GB2312" w:eastAsia="仿宋_GB2312" w:cs="仿宋_GB2312"/>
          <w:szCs w:val="21"/>
          <w:highlight w:val="yellow"/>
          <w:u w:val="single"/>
          <w:lang w:val="en-US" w:eastAsia="zh-CN"/>
        </w:rPr>
        <w:t>4</w:t>
      </w:r>
      <w:r>
        <w:rPr>
          <w:rFonts w:hint="eastAsia" w:ascii="仿宋_GB2312" w:hAnsi="仿宋_GB2312" w:eastAsia="仿宋_GB2312" w:cs="仿宋_GB2312"/>
          <w:szCs w:val="21"/>
          <w:highlight w:val="yellow"/>
          <w:u w:val="single"/>
        </w:rPr>
        <w:t xml:space="preserve"> 月</w:t>
      </w:r>
      <w:r>
        <w:rPr>
          <w:rFonts w:hint="eastAsia" w:ascii="仿宋_GB2312" w:hAnsi="仿宋_GB2312" w:eastAsia="仿宋_GB2312" w:cs="仿宋_GB2312"/>
          <w:szCs w:val="21"/>
          <w:highlight w:val="yellow"/>
          <w:u w:val="single"/>
          <w:lang w:val="en-US" w:eastAsia="zh-CN"/>
        </w:rPr>
        <w:t>8</w:t>
      </w:r>
      <w:r>
        <w:rPr>
          <w:rFonts w:hint="eastAsia" w:ascii="仿宋_GB2312" w:hAnsi="仿宋_GB2312" w:eastAsia="仿宋_GB2312" w:cs="仿宋_GB2312"/>
          <w:szCs w:val="21"/>
          <w:highlight w:val="yellow"/>
          <w:u w:val="single"/>
        </w:rPr>
        <w:t>日</w:t>
      </w:r>
      <w:r>
        <w:rPr>
          <w:rFonts w:hint="eastAsia" w:ascii="仿宋_GB2312" w:hAnsi="仿宋_GB2312" w:eastAsia="仿宋_GB2312" w:cs="仿宋_GB2312"/>
          <w:szCs w:val="21"/>
          <w:highlight w:val="yellow"/>
          <w:u w:val="single"/>
          <w:lang w:val="en-US" w:eastAsia="zh-CN"/>
        </w:rPr>
        <w:t>11</w:t>
      </w:r>
      <w:r>
        <w:rPr>
          <w:rFonts w:hint="eastAsia" w:ascii="仿宋_GB2312" w:hAnsi="仿宋_GB2312" w:eastAsia="仿宋_GB2312" w:cs="仿宋_GB2312"/>
          <w:szCs w:val="21"/>
          <w:highlight w:val="yellow"/>
          <w:u w:val="single"/>
        </w:rPr>
        <w:t>时</w:t>
      </w:r>
      <w:r>
        <w:rPr>
          <w:rFonts w:hint="eastAsia" w:ascii="仿宋_GB2312" w:hAnsi="仿宋_GB2312" w:eastAsia="仿宋_GB2312" w:cs="仿宋_GB2312"/>
          <w:szCs w:val="21"/>
          <w:highlight w:val="yellow"/>
          <w:u w:val="single"/>
          <w:lang w:val="en-US" w:eastAsia="zh-CN"/>
        </w:rPr>
        <w:t>0</w:t>
      </w:r>
      <w:r>
        <w:rPr>
          <w:rFonts w:hint="eastAsia" w:ascii="仿宋_GB2312" w:hAnsi="仿宋_GB2312" w:eastAsia="仿宋_GB2312" w:cs="仿宋_GB2312"/>
          <w:szCs w:val="21"/>
          <w:highlight w:val="yellow"/>
          <w:u w:val="single"/>
        </w:rPr>
        <w:t>0分</w:t>
      </w:r>
      <w:r>
        <w:rPr>
          <w:rFonts w:hint="eastAsia" w:ascii="仿宋_GB2312" w:hAnsi="仿宋_GB2312" w:eastAsia="仿宋_GB2312" w:cs="仿宋_GB2312"/>
          <w:szCs w:val="21"/>
          <w:highlight w:val="yellow"/>
        </w:rPr>
        <w:t>至</w:t>
      </w:r>
      <w:r>
        <w:rPr>
          <w:rFonts w:hint="eastAsia" w:ascii="仿宋_GB2312" w:hAnsi="仿宋_GB2312" w:eastAsia="仿宋_GB2312" w:cs="仿宋_GB2312"/>
          <w:szCs w:val="21"/>
          <w:highlight w:val="yellow"/>
          <w:u w:val="single"/>
        </w:rPr>
        <w:t>2022年</w:t>
      </w:r>
      <w:r>
        <w:rPr>
          <w:rFonts w:hint="eastAsia" w:ascii="仿宋_GB2312" w:hAnsi="仿宋_GB2312" w:eastAsia="仿宋_GB2312" w:cs="仿宋_GB2312"/>
          <w:szCs w:val="21"/>
          <w:highlight w:val="yellow"/>
          <w:u w:val="single"/>
          <w:lang w:val="en-US" w:eastAsia="zh-CN"/>
        </w:rPr>
        <w:t>4</w:t>
      </w:r>
      <w:r>
        <w:rPr>
          <w:rFonts w:hint="eastAsia" w:ascii="仿宋_GB2312" w:hAnsi="仿宋_GB2312" w:eastAsia="仿宋_GB2312" w:cs="仿宋_GB2312"/>
          <w:szCs w:val="21"/>
          <w:highlight w:val="yellow"/>
          <w:u w:val="single"/>
        </w:rPr>
        <w:t>月</w:t>
      </w:r>
      <w:r>
        <w:rPr>
          <w:rFonts w:hint="eastAsia" w:ascii="仿宋_GB2312" w:hAnsi="仿宋_GB2312" w:eastAsia="仿宋_GB2312" w:cs="仿宋_GB2312"/>
          <w:szCs w:val="21"/>
          <w:highlight w:val="yellow"/>
          <w:u w:val="single"/>
          <w:lang w:val="en-US" w:eastAsia="zh-CN"/>
        </w:rPr>
        <w:t>15</w:t>
      </w:r>
      <w:r>
        <w:rPr>
          <w:rFonts w:hint="eastAsia" w:ascii="仿宋_GB2312" w:hAnsi="仿宋_GB2312" w:eastAsia="仿宋_GB2312" w:cs="仿宋_GB2312"/>
          <w:szCs w:val="21"/>
          <w:highlight w:val="yellow"/>
          <w:u w:val="single"/>
        </w:rPr>
        <w:t>日08时30分</w:t>
      </w:r>
      <w:r>
        <w:rPr>
          <w:rFonts w:hint="eastAsia" w:ascii="仿宋_GB2312" w:hAnsi="仿宋_GB2312" w:eastAsia="仿宋_GB2312" w:cs="仿宋_GB2312"/>
          <w:szCs w:val="21"/>
        </w:rPr>
        <w:t>(双休日及法定节假日除外)。</w:t>
      </w:r>
    </w:p>
    <w:p>
      <w:pPr>
        <w:spacing w:line="380" w:lineRule="exact"/>
        <w:ind w:left="315" w:leftChars="150" w:firstLine="105" w:firstLineChars="50"/>
        <w:jc w:val="left"/>
        <w:rPr>
          <w:rFonts w:ascii="仿宋_GB2312" w:hAnsi="仿宋_GB2312" w:eastAsia="仿宋_GB2312" w:cs="仿宋_GB2312"/>
          <w:szCs w:val="21"/>
        </w:rPr>
      </w:pPr>
      <w:r>
        <w:rPr>
          <w:rFonts w:hint="eastAsia" w:ascii="仿宋_GB2312" w:hAnsi="仿宋_GB2312" w:eastAsia="仿宋_GB2312" w:cs="仿宋_GB2312"/>
          <w:szCs w:val="21"/>
        </w:rPr>
        <w:t>2.获取采购文件方式：浙江轨道集团官网（</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"http://www.cncico.com/sub_company_index/9418.html）、"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1"/>
        </w:rPr>
        <w:t>http://www.cncico.com/sub_company_index/9418.html）</w:t>
      </w:r>
      <w:r>
        <w:rPr>
          <w:rFonts w:hint="eastAsia" w:ascii="仿宋_GB2312" w:hAnsi="仿宋_GB2312" w:eastAsia="仿宋_GB2312" w:cs="仿宋_GB2312"/>
          <w:szCs w:val="21"/>
        </w:rPr>
        <w:fldChar w:fldCharType="end"/>
      </w:r>
    </w:p>
    <w:p>
      <w:pPr>
        <w:numPr>
          <w:ilvl w:val="0"/>
          <w:numId w:val="1"/>
        </w:numPr>
        <w:spacing w:line="380" w:lineRule="exact"/>
        <w:outlineLvl w:val="1"/>
        <w:rPr>
          <w:rFonts w:ascii="仿宋_GB2312" w:hAnsi="宋体" w:eastAsia="仿宋_GB2312"/>
          <w:szCs w:val="21"/>
        </w:rPr>
      </w:pPr>
      <w:r>
        <w:rPr>
          <w:rFonts w:hint="eastAsia" w:ascii="仿宋_GB2312" w:hAnsi="宋体" w:eastAsia="仿宋_GB2312"/>
          <w:szCs w:val="21"/>
        </w:rPr>
        <w:t>采购响应文件提交等要求</w:t>
      </w:r>
    </w:p>
    <w:p>
      <w:pPr>
        <w:spacing w:line="380" w:lineRule="exact"/>
        <w:ind w:left="425"/>
        <w:rPr>
          <w:rFonts w:ascii="仿宋_GB2312" w:hAnsi="仿宋_GB2312" w:eastAsia="仿宋_GB2312" w:cs="仿宋_GB2312"/>
          <w:b/>
          <w:szCs w:val="21"/>
        </w:rPr>
      </w:pPr>
      <w:r>
        <w:rPr>
          <w:rFonts w:hint="eastAsia" w:ascii="仿宋_GB2312" w:hAnsi="仿宋_GB2312" w:eastAsia="仿宋_GB2312" w:cs="仿宋_GB2312"/>
          <w:szCs w:val="21"/>
        </w:rPr>
        <w:t>1.提交截止时间：</w:t>
      </w:r>
      <w:r>
        <w:rPr>
          <w:rFonts w:hint="eastAsia" w:ascii="仿宋_GB2312" w:hAnsi="仿宋_GB2312" w:eastAsia="仿宋_GB2312" w:cs="仿宋_GB2312"/>
          <w:szCs w:val="21"/>
          <w:highlight w:val="yellow"/>
          <w:u w:val="single"/>
        </w:rPr>
        <w:t>2022年</w:t>
      </w:r>
      <w:r>
        <w:rPr>
          <w:rFonts w:hint="eastAsia" w:ascii="仿宋_GB2312" w:hAnsi="仿宋_GB2312" w:eastAsia="仿宋_GB2312" w:cs="仿宋_GB2312"/>
          <w:szCs w:val="21"/>
          <w:highlight w:val="yellow"/>
          <w:u w:val="single"/>
          <w:lang w:val="en-US" w:eastAsia="zh-CN"/>
        </w:rPr>
        <w:t>4</w:t>
      </w:r>
      <w:r>
        <w:rPr>
          <w:rFonts w:hint="eastAsia" w:ascii="仿宋_GB2312" w:hAnsi="仿宋_GB2312" w:eastAsia="仿宋_GB2312" w:cs="仿宋_GB2312"/>
          <w:szCs w:val="21"/>
          <w:highlight w:val="yellow"/>
          <w:u w:val="single"/>
        </w:rPr>
        <w:t>月</w:t>
      </w:r>
      <w:r>
        <w:rPr>
          <w:rFonts w:hint="eastAsia" w:ascii="仿宋_GB2312" w:hAnsi="仿宋_GB2312" w:eastAsia="仿宋_GB2312" w:cs="仿宋_GB2312"/>
          <w:szCs w:val="21"/>
          <w:highlight w:val="yellow"/>
          <w:u w:val="single"/>
          <w:lang w:val="en-US" w:eastAsia="zh-CN"/>
        </w:rPr>
        <w:t>15</w:t>
      </w:r>
      <w:r>
        <w:rPr>
          <w:rFonts w:hint="eastAsia" w:ascii="仿宋_GB2312" w:hAnsi="仿宋_GB2312" w:eastAsia="仿宋_GB2312" w:cs="仿宋_GB2312"/>
          <w:szCs w:val="21"/>
          <w:highlight w:val="yellow"/>
          <w:u w:val="single"/>
        </w:rPr>
        <w:t>日0</w:t>
      </w:r>
      <w:r>
        <w:rPr>
          <w:rFonts w:hint="eastAsia" w:ascii="仿宋_GB2312" w:hAnsi="仿宋_GB2312" w:eastAsia="仿宋_GB2312" w:cs="仿宋_GB2312"/>
          <w:szCs w:val="21"/>
          <w:highlight w:val="yellow"/>
          <w:u w:val="single"/>
          <w:lang w:val="en-US" w:eastAsia="zh-CN"/>
        </w:rPr>
        <w:t>8</w:t>
      </w:r>
      <w:r>
        <w:rPr>
          <w:rFonts w:hint="eastAsia" w:ascii="仿宋_GB2312" w:hAnsi="仿宋_GB2312" w:eastAsia="仿宋_GB2312" w:cs="仿宋_GB2312"/>
          <w:szCs w:val="21"/>
          <w:highlight w:val="yellow"/>
          <w:u w:val="single"/>
        </w:rPr>
        <w:t>时</w:t>
      </w:r>
      <w:r>
        <w:rPr>
          <w:rFonts w:hint="eastAsia" w:ascii="仿宋_GB2312" w:hAnsi="仿宋_GB2312" w:eastAsia="仿宋_GB2312" w:cs="仿宋_GB2312"/>
          <w:szCs w:val="21"/>
          <w:highlight w:val="yellow"/>
          <w:u w:val="single"/>
          <w:lang w:val="en-US" w:eastAsia="zh-CN"/>
        </w:rPr>
        <w:t>3</w:t>
      </w:r>
      <w:r>
        <w:rPr>
          <w:rFonts w:hint="eastAsia" w:ascii="仿宋_GB2312" w:hAnsi="仿宋_GB2312" w:eastAsia="仿宋_GB2312" w:cs="仿宋_GB2312"/>
          <w:szCs w:val="21"/>
          <w:highlight w:val="yellow"/>
          <w:u w:val="single"/>
        </w:rPr>
        <w:t>0分</w:t>
      </w:r>
    </w:p>
    <w:p>
      <w:pPr>
        <w:spacing w:line="380" w:lineRule="exact"/>
        <w:ind w:firstLine="420" w:firstLineChars="20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2.提交地址（或邮箱）/谈判地点（适用谈判项目）：温州市鹿城区南汇街道温州大道2305号703B室</w:t>
      </w:r>
      <w:r>
        <w:rPr>
          <w:rFonts w:hint="eastAsia" w:ascii="仿宋_GB2312" w:hAnsi="仿宋_GB2312" w:eastAsia="仿宋_GB2312" w:cs="仿宋_GB2312"/>
          <w:szCs w:val="21"/>
          <w:lang w:val="en-US" w:eastAsia="zh-CN"/>
        </w:rPr>
        <w:t xml:space="preserve"> 周工 13676529090</w:t>
      </w:r>
      <w:bookmarkStart w:id="1" w:name="_GoBack"/>
      <w:bookmarkEnd w:id="1"/>
    </w:p>
    <w:p>
      <w:pPr>
        <w:spacing w:line="38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3.开启时间（适用询比项目）：</w:t>
      </w:r>
      <w:r>
        <w:rPr>
          <w:rFonts w:hint="eastAsia" w:ascii="仿宋_GB2312" w:hAnsi="仿宋_GB2312" w:eastAsia="仿宋_GB2312" w:cs="仿宋_GB2312"/>
          <w:szCs w:val="21"/>
          <w:highlight w:val="yellow"/>
          <w:u w:val="single"/>
        </w:rPr>
        <w:t>2022年</w:t>
      </w:r>
      <w:r>
        <w:rPr>
          <w:rFonts w:hint="eastAsia" w:ascii="仿宋_GB2312" w:hAnsi="仿宋_GB2312" w:eastAsia="仿宋_GB2312" w:cs="仿宋_GB2312"/>
          <w:szCs w:val="21"/>
          <w:highlight w:val="yellow"/>
          <w:u w:val="single"/>
          <w:lang w:val="en-US" w:eastAsia="zh-CN"/>
        </w:rPr>
        <w:t>4</w:t>
      </w:r>
      <w:r>
        <w:rPr>
          <w:rFonts w:hint="eastAsia" w:ascii="仿宋_GB2312" w:hAnsi="仿宋_GB2312" w:eastAsia="仿宋_GB2312" w:cs="仿宋_GB2312"/>
          <w:szCs w:val="21"/>
          <w:highlight w:val="yellow"/>
          <w:u w:val="single"/>
        </w:rPr>
        <w:t>月</w:t>
      </w:r>
      <w:r>
        <w:rPr>
          <w:rFonts w:hint="eastAsia" w:ascii="仿宋_GB2312" w:hAnsi="仿宋_GB2312" w:eastAsia="仿宋_GB2312" w:cs="仿宋_GB2312"/>
          <w:szCs w:val="21"/>
          <w:highlight w:val="yellow"/>
          <w:u w:val="single"/>
          <w:lang w:val="en-US" w:eastAsia="zh-CN"/>
        </w:rPr>
        <w:t>15</w:t>
      </w:r>
      <w:r>
        <w:rPr>
          <w:rFonts w:hint="eastAsia" w:ascii="仿宋_GB2312" w:hAnsi="仿宋_GB2312" w:eastAsia="仿宋_GB2312" w:cs="仿宋_GB2312"/>
          <w:szCs w:val="21"/>
          <w:highlight w:val="yellow"/>
          <w:u w:val="single"/>
        </w:rPr>
        <w:t>日09时00分</w:t>
      </w:r>
    </w:p>
    <w:p>
      <w:pPr>
        <w:numPr>
          <w:ilvl w:val="0"/>
          <w:numId w:val="1"/>
        </w:numPr>
        <w:spacing w:line="380" w:lineRule="exact"/>
        <w:outlineLvl w:val="1"/>
        <w:rPr>
          <w:rFonts w:ascii="仿宋_GB2312" w:hAnsi="宋体" w:eastAsia="仿宋_GB2312"/>
          <w:szCs w:val="21"/>
        </w:rPr>
      </w:pPr>
      <w:r>
        <w:rPr>
          <w:rFonts w:hint="eastAsia" w:ascii="仿宋_GB2312" w:hAnsi="宋体" w:eastAsia="仿宋_GB2312"/>
          <w:szCs w:val="21"/>
        </w:rPr>
        <w:t>联系方式</w:t>
      </w:r>
    </w:p>
    <w:p>
      <w:pPr>
        <w:spacing w:line="380" w:lineRule="exact"/>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1.采购人名称：浙江幸福轨道交通运营管理有限公司</w:t>
      </w:r>
    </w:p>
    <w:p>
      <w:pPr>
        <w:spacing w:line="38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联系人：周工</w:t>
      </w:r>
    </w:p>
    <w:p>
      <w:pPr>
        <w:spacing w:line="380" w:lineRule="exact"/>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地址：温州市鹿城区南汇街道温州大道2305号702室（温州轨道交通控制中心）</w:t>
      </w:r>
    </w:p>
    <w:p>
      <w:pPr>
        <w:spacing w:line="38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电话：0577-89727081 </w:t>
      </w:r>
    </w:p>
    <w:p>
      <w:pPr>
        <w:spacing w:line="38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2.采购监督管理部门：党群工作部（纪检监察审计部）</w:t>
      </w:r>
    </w:p>
    <w:p>
      <w:pPr>
        <w:widowControl/>
        <w:spacing w:line="38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地  址：温州市鹿城区南汇街道温州大道2305号707室</w:t>
      </w:r>
    </w:p>
    <w:p>
      <w:pPr>
        <w:widowControl/>
        <w:spacing w:line="38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电  话：0577-89727122</w:t>
      </w:r>
    </w:p>
    <w:p>
      <w:pPr>
        <w:widowControl/>
        <w:jc w:val="left"/>
        <w:rPr>
          <w:rFonts w:ascii="黑体" w:hAnsi="黑体" w:eastAsia="黑体"/>
          <w:sz w:val="28"/>
          <w:szCs w:val="32"/>
        </w:rPr>
      </w:pPr>
      <w:r>
        <w:rPr>
          <w:rFonts w:ascii="黑体" w:hAnsi="黑体" w:eastAsia="黑体"/>
          <w:sz w:val="28"/>
          <w:szCs w:val="32"/>
        </w:rPr>
        <w:br w:type="page"/>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第二章 供应商须知</w:t>
      </w:r>
    </w:p>
    <w:p>
      <w:pPr>
        <w:numPr>
          <w:ilvl w:val="0"/>
          <w:numId w:val="2"/>
        </w:numPr>
        <w:spacing w:line="380" w:lineRule="exact"/>
        <w:outlineLvl w:val="1"/>
        <w:rPr>
          <w:rFonts w:ascii="仿宋_GB2312" w:hAnsi="宋体" w:eastAsia="仿宋_GB2312"/>
          <w:szCs w:val="21"/>
        </w:rPr>
      </w:pPr>
      <w:r>
        <w:rPr>
          <w:rFonts w:hint="eastAsia" w:ascii="仿宋_GB2312" w:hAnsi="宋体" w:eastAsia="仿宋_GB2312"/>
          <w:szCs w:val="21"/>
        </w:rPr>
        <w:t>供应商须知前附表</w:t>
      </w:r>
    </w:p>
    <w:tbl>
      <w:tblPr>
        <w:tblStyle w:val="17"/>
        <w:tblW w:w="9711" w:type="dxa"/>
        <w:jc w:val="center"/>
        <w:tblLayout w:type="fixed"/>
        <w:tblCellMar>
          <w:top w:w="0" w:type="dxa"/>
          <w:left w:w="108" w:type="dxa"/>
          <w:bottom w:w="0" w:type="dxa"/>
          <w:right w:w="108" w:type="dxa"/>
        </w:tblCellMar>
      </w:tblPr>
      <w:tblGrid>
        <w:gridCol w:w="701"/>
        <w:gridCol w:w="2062"/>
        <w:gridCol w:w="6948"/>
      </w:tblGrid>
      <w:tr>
        <w:tblPrEx>
          <w:tblCellMar>
            <w:top w:w="0" w:type="dxa"/>
            <w:left w:w="108" w:type="dxa"/>
            <w:bottom w:w="0" w:type="dxa"/>
            <w:right w:w="108" w:type="dxa"/>
          </w:tblCellMar>
        </w:tblPrEx>
        <w:trPr>
          <w:trHeight w:val="90" w:hRule="atLeas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条款名称</w:t>
            </w:r>
          </w:p>
        </w:tc>
        <w:tc>
          <w:tcPr>
            <w:tcW w:w="6948"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内容及要求</w:t>
            </w:r>
          </w:p>
        </w:tc>
      </w:tr>
      <w:tr>
        <w:tblPrEx>
          <w:tblCellMar>
            <w:top w:w="0" w:type="dxa"/>
            <w:left w:w="108" w:type="dxa"/>
            <w:bottom w:w="0" w:type="dxa"/>
            <w:right w:w="108" w:type="dxa"/>
          </w:tblCellMar>
        </w:tblPrEx>
        <w:trPr>
          <w:trHeight w:val="9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采购人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采购人：浙江幸福轨道交通运营管理有限公司</w:t>
            </w:r>
          </w:p>
          <w:p>
            <w:pPr>
              <w:autoSpaceDE w:val="0"/>
              <w:autoSpaceDN w:val="0"/>
              <w:spacing w:line="240" w:lineRule="auto"/>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地址：温州市鹿城区温州大道2305号温州市轨道交通控制中心</w:t>
            </w:r>
          </w:p>
          <w:p>
            <w:pPr>
              <w:autoSpaceDE w:val="0"/>
              <w:autoSpaceDN w:val="0"/>
              <w:spacing w:line="240" w:lineRule="auto"/>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联系人：周工</w:t>
            </w:r>
          </w:p>
          <w:p>
            <w:pPr>
              <w:autoSpaceDE w:val="0"/>
              <w:autoSpaceDN w:val="0"/>
              <w:spacing w:line="240" w:lineRule="auto"/>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电话：0577-89727081 </w:t>
            </w:r>
          </w:p>
          <w:p>
            <w:pPr>
              <w:autoSpaceDE w:val="0"/>
              <w:autoSpaceDN w:val="0"/>
              <w:rPr>
                <w:rFonts w:eastAsia="仿宋_GB2312"/>
              </w:rPr>
            </w:pPr>
            <w:r>
              <w:rPr>
                <w:rFonts w:hint="eastAsia" w:ascii="仿宋_GB2312" w:hAnsi="仿宋_GB2312" w:eastAsia="仿宋_GB2312" w:cs="仿宋_GB2312"/>
                <w:sz w:val="18"/>
                <w:szCs w:val="18"/>
              </w:rPr>
              <w:t>手机：13676529090</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项目名称</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浙江幸福轨道公司2022年度工器具采购项目</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资金来源和落实情况</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自筹，资金已落实</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4</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总工期及地点</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接到买方通知后，30天内完成该批供货,交货地点：浙江幸福轨道交通运营管理有限公司</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项目内容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详见需求清单</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控制价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本项目预算控制价为</w:t>
            </w:r>
            <w:r>
              <w:rPr>
                <w:rFonts w:hint="eastAsia" w:ascii="仿宋_GB2312" w:hAnsi="仿宋_GB2312" w:eastAsia="仿宋_GB2312" w:cs="仿宋_GB2312"/>
                <w:sz w:val="18"/>
                <w:szCs w:val="18"/>
              </w:rPr>
              <w:t>47</w:t>
            </w:r>
            <w:r>
              <w:rPr>
                <w:rFonts w:hint="eastAsia" w:ascii="仿宋_GB2312" w:hAnsi="仿宋_GB2312" w:eastAsia="仿宋_GB2312" w:cs="仿宋_GB2312"/>
                <w:sz w:val="18"/>
                <w:szCs w:val="18"/>
                <w:lang w:val="zh-CN"/>
              </w:rPr>
              <w:t>万元。</w:t>
            </w:r>
          </w:p>
        </w:tc>
      </w:tr>
      <w:tr>
        <w:tblPrEx>
          <w:tblCellMar>
            <w:top w:w="0" w:type="dxa"/>
            <w:left w:w="108" w:type="dxa"/>
            <w:bottom w:w="0" w:type="dxa"/>
            <w:right w:w="108" w:type="dxa"/>
          </w:tblCellMar>
        </w:tblPrEx>
        <w:trPr>
          <w:trHeight w:val="5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供应商资格要求</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1.供应商应具有独立承担民事责任的能力。</w:t>
            </w:r>
          </w:p>
          <w:p>
            <w:pPr>
              <w:pStyle w:val="2"/>
              <w:ind w:firstLine="0"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 未被人民法院列入失信被执行人、重大税收违法案件当事人名单提供“信用中国”网站（www.creditchina.gov.cn)供应商信用记录截图（截止至项目公告时间）；</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3.本项目拒绝联合体参与报价。</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保密</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参与询比活动的当事人应对询比通知书和响应文件中的商业秘密、技术秘密和个人隐私等保密，违者应对由此造成的后果承担法律责任。</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踏勘现场</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不组织，自行踏勘。</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□组织踏勘    时间：       集中踏勘地点：</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通知书澄清、修改截止时间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时间：递交响应文件截止之日 2 日前（以发出日期为准）。</w:t>
            </w:r>
          </w:p>
        </w:tc>
      </w:tr>
      <w:tr>
        <w:trPr>
          <w:trHeight w:val="46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供应商确认收到通知书澄清、修改、补充的时间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自澄清公告发布时间起24小时内。</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保证金</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保证金金额：无。</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报价费用</w:t>
            </w:r>
          </w:p>
        </w:tc>
        <w:tc>
          <w:tcPr>
            <w:tcW w:w="694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供应商应承担所有与准备和参加询比有关的费用。不论询比的结果如何，采购人无义务和责任承担这些费用。</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报价范围</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包括提供服务的所有费用。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是否允许递交备选报价方案</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不允许。</w:t>
            </w:r>
          </w:p>
        </w:tc>
      </w:tr>
      <w:tr>
        <w:tblPrEx>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是否接受联合体报价</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fldChar w:fldCharType="begin"/>
            </w:r>
            <w:r>
              <w:rPr>
                <w:rFonts w:hint="eastAsia" w:ascii="仿宋_GB2312" w:hAnsi="仿宋_GB2312" w:eastAsia="仿宋_GB2312" w:cs="仿宋_GB2312"/>
                <w:sz w:val="18"/>
                <w:szCs w:val="18"/>
                <w:lang w:val="zh-CN"/>
              </w:rPr>
              <w:instrText xml:space="preserve"> eq \o\ac(□,√)</w:instrText>
            </w:r>
            <w:r>
              <w:rPr>
                <w:rFonts w:hint="eastAsia" w:ascii="仿宋_GB2312" w:hAnsi="仿宋_GB2312" w:eastAsia="仿宋_GB2312" w:cs="仿宋_GB2312"/>
                <w:sz w:val="18"/>
                <w:szCs w:val="18"/>
                <w:lang w:val="zh-CN"/>
              </w:rPr>
              <w:fldChar w:fldCharType="end"/>
            </w:r>
            <w:r>
              <w:rPr>
                <w:rFonts w:hint="eastAsia" w:ascii="仿宋_GB2312" w:hAnsi="仿宋_GB2312" w:eastAsia="仿宋_GB2312" w:cs="仿宋_GB2312"/>
                <w:sz w:val="18"/>
                <w:szCs w:val="18"/>
                <w:lang w:val="zh-CN"/>
              </w:rPr>
              <w:t>不接受。</w:t>
            </w:r>
          </w:p>
        </w:tc>
      </w:tr>
      <w:tr>
        <w:tblPrEx>
          <w:tblCellMar>
            <w:top w:w="0" w:type="dxa"/>
            <w:left w:w="108" w:type="dxa"/>
            <w:bottom w:w="0" w:type="dxa"/>
            <w:right w:w="108" w:type="dxa"/>
          </w:tblCellMar>
        </w:tblPrEx>
        <w:trPr>
          <w:trHeight w:val="1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spacing w:line="440" w:lineRule="atLeast"/>
              <w:jc w:val="cente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实质性要求和条件</w:t>
            </w:r>
          </w:p>
        </w:tc>
        <w:tc>
          <w:tcPr>
            <w:tcW w:w="6948" w:type="dxa"/>
            <w:tcBorders>
              <w:top w:val="single" w:color="auto" w:sz="6" w:space="0"/>
              <w:left w:val="single" w:color="auto" w:sz="6" w:space="0"/>
              <w:bottom w:val="single" w:color="auto" w:sz="6" w:space="0"/>
              <w:right w:val="single" w:color="auto" w:sz="6" w:space="0"/>
            </w:tcBorders>
            <w:vAlign w:val="center"/>
          </w:tcPr>
          <w:p>
            <w:pPr>
              <w:pStyle w:val="46"/>
              <w:numPr>
                <w:ilvl w:val="0"/>
                <w:numId w:val="3"/>
              </w:numPr>
              <w:autoSpaceDE w:val="0"/>
              <w:autoSpaceDN w:val="0"/>
              <w:ind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响应文件符合供应商须知规定；</w:t>
            </w:r>
          </w:p>
          <w:p>
            <w:pPr>
              <w:pStyle w:val="46"/>
              <w:numPr>
                <w:ilvl w:val="0"/>
                <w:numId w:val="3"/>
              </w:numPr>
              <w:autoSpaceDE w:val="0"/>
              <w:autoSpaceDN w:val="0"/>
              <w:ind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响应文件所需的全部文件齐全，</w:t>
            </w:r>
            <w:r>
              <w:rPr>
                <w:rFonts w:hint="eastAsia" w:ascii="仿宋_GB2312" w:hAnsi="仿宋_GB2312" w:eastAsia="仿宋_GB2312" w:cs="仿宋_GB2312"/>
                <w:sz w:val="18"/>
                <w:szCs w:val="18"/>
              </w:rPr>
              <w:t>并按采购文件的要求加盖单位章</w:t>
            </w:r>
            <w:r>
              <w:rPr>
                <w:rFonts w:hint="eastAsia" w:ascii="仿宋_GB2312" w:hAnsi="仿宋_GB2312" w:eastAsia="仿宋_GB2312" w:cs="仿宋_GB2312"/>
                <w:sz w:val="18"/>
                <w:szCs w:val="18"/>
                <w:lang w:val="zh-CN"/>
              </w:rPr>
              <w:t>；</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响应文件按照采购文件规定的格式、内容填写，字迹清晰可辨；</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按采购文件规定提交</w:t>
            </w:r>
            <w:r>
              <w:rPr>
                <w:rFonts w:hint="eastAsia" w:ascii="仿宋_GB2312" w:hAnsi="仿宋_GB2312" w:eastAsia="仿宋_GB2312" w:cs="仿宋_GB2312"/>
                <w:sz w:val="18"/>
                <w:szCs w:val="18"/>
              </w:rPr>
              <w:t>响应文件</w:t>
            </w:r>
            <w:r>
              <w:rPr>
                <w:rFonts w:hint="eastAsia" w:ascii="仿宋_GB2312" w:hAnsi="仿宋_GB2312" w:eastAsia="仿宋_GB2312" w:cs="仿宋_GB2312"/>
                <w:sz w:val="18"/>
                <w:szCs w:val="18"/>
                <w:lang w:val="zh-CN"/>
              </w:rPr>
              <w:t>报价表、法定代表人授权委托书；</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响应方案满足采购文件要求；</w:t>
            </w:r>
          </w:p>
          <w:p>
            <w:pPr>
              <w:numPr>
                <w:ilvl w:val="0"/>
                <w:numId w:val="3"/>
              </w:num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未出现采购人不能接受的条款（如支付条款、违约金条款等）。</w:t>
            </w:r>
          </w:p>
          <w:p>
            <w:pPr>
              <w:numPr>
                <w:ilvl w:val="0"/>
                <w:numId w:val="3"/>
              </w:num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响应文件的组成</w:t>
            </w:r>
          </w:p>
        </w:tc>
        <w:tc>
          <w:tcPr>
            <w:tcW w:w="6948"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b/>
                <w:sz w:val="18"/>
                <w:szCs w:val="18"/>
              </w:rPr>
              <w:t>一、实质性响应采购文件资料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营业执照；</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法定代表人授权委托书（响应文件委托代理人签字的提供）；</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供应商资格要求中的其他资料；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pPr>
              <w:adjustRightInd w:val="0"/>
              <w:snapToGrid w:val="0"/>
              <w:rPr>
                <w:rFonts w:ascii="仿宋_GB2312" w:hAnsi="仿宋_GB2312" w:eastAsia="仿宋_GB2312" w:cs="仿宋_GB2312"/>
                <w:b/>
                <w:sz w:val="20"/>
                <w:szCs w:val="20"/>
              </w:rPr>
            </w:pPr>
            <w:r>
              <w:rPr>
                <w:rFonts w:hint="eastAsia" w:ascii="仿宋_GB2312" w:hAnsi="仿宋_GB2312" w:eastAsia="仿宋_GB2312" w:cs="仿宋_GB2312"/>
                <w:b/>
                <w:sz w:val="20"/>
                <w:szCs w:val="20"/>
              </w:rPr>
              <w:t>二、商务评审资料</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lang w:val="zh-CN"/>
              </w:rPr>
              <w:tab/>
            </w:r>
            <w:r>
              <w:rPr>
                <w:rFonts w:hint="eastAsia" w:ascii="仿宋_GB2312" w:hAnsi="仿宋_GB2312" w:eastAsia="仿宋_GB2312" w:cs="仿宋_GB2312"/>
                <w:sz w:val="18"/>
                <w:szCs w:val="18"/>
                <w:lang w:val="zh-CN"/>
              </w:rPr>
              <w:t>报价一览表；</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响应文件份数</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80" w:lineRule="exact"/>
              <w:jc w:val="left"/>
              <w:outlineLvl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正本一份，副本</w:t>
            </w:r>
            <w:r>
              <w:rPr>
                <w:rFonts w:hint="eastAsia" w:ascii="仿宋_GB2312" w:hAnsi="仿宋_GB2312" w:eastAsia="仿宋_GB2312" w:cs="仿宋_GB2312"/>
                <w:sz w:val="18"/>
                <w:szCs w:val="18"/>
              </w:rPr>
              <w:t>四</w:t>
            </w:r>
            <w:r>
              <w:rPr>
                <w:rFonts w:hint="eastAsia" w:ascii="仿宋_GB2312" w:hAnsi="仿宋_GB2312" w:eastAsia="仿宋_GB2312" w:cs="仿宋_GB2312"/>
                <w:sz w:val="18"/>
                <w:szCs w:val="18"/>
                <w:lang w:val="zh-CN"/>
              </w:rPr>
              <w:t>份。报价文件（正本）须按编制要求有单位盖章与法定代表人（或法定代表人授权的代理人）签字。正本和副本的封面上应清楚地标记“正本”或“副本”的字样。当副本和正本不一致时，以正本为准。</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响应有效期</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自响应文件递交截止之日起90日历天。</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递交响应文件时间、截止时间、地点及地址</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highlight w:val="yellow"/>
                <w:lang w:val="zh-CN"/>
              </w:rPr>
              <w:t>报价文件递交截止时间：202</w:t>
            </w:r>
            <w:r>
              <w:rPr>
                <w:rFonts w:hint="eastAsia" w:ascii="仿宋_GB2312" w:hAnsi="仿宋_GB2312" w:eastAsia="仿宋_GB2312" w:cs="仿宋_GB2312"/>
                <w:sz w:val="18"/>
                <w:szCs w:val="18"/>
                <w:highlight w:val="yellow"/>
              </w:rPr>
              <w:t>2</w:t>
            </w:r>
            <w:r>
              <w:rPr>
                <w:rFonts w:hint="eastAsia" w:ascii="仿宋_GB2312" w:hAnsi="仿宋_GB2312" w:eastAsia="仿宋_GB2312" w:cs="仿宋_GB2312"/>
                <w:sz w:val="18"/>
                <w:szCs w:val="18"/>
                <w:highlight w:val="yellow"/>
                <w:lang w:val="zh-CN"/>
              </w:rPr>
              <w:t>年</w:t>
            </w:r>
            <w:r>
              <w:rPr>
                <w:rFonts w:hint="eastAsia" w:ascii="仿宋_GB2312" w:hAnsi="仿宋_GB2312" w:eastAsia="仿宋_GB2312" w:cs="仿宋_GB2312"/>
                <w:sz w:val="18"/>
                <w:szCs w:val="18"/>
                <w:highlight w:val="yellow"/>
                <w:lang w:val="en-US" w:eastAsia="zh-CN"/>
              </w:rPr>
              <w:t>4</w:t>
            </w:r>
            <w:r>
              <w:rPr>
                <w:rFonts w:hint="eastAsia" w:ascii="仿宋_GB2312" w:hAnsi="仿宋_GB2312" w:eastAsia="仿宋_GB2312" w:cs="仿宋_GB2312"/>
                <w:sz w:val="18"/>
                <w:szCs w:val="18"/>
                <w:highlight w:val="yellow"/>
                <w:lang w:val="zh-CN"/>
              </w:rPr>
              <w:t>月</w:t>
            </w:r>
            <w:r>
              <w:rPr>
                <w:rFonts w:hint="eastAsia" w:ascii="仿宋_GB2312" w:hAnsi="仿宋_GB2312" w:eastAsia="仿宋_GB2312" w:cs="仿宋_GB2312"/>
                <w:sz w:val="18"/>
                <w:szCs w:val="18"/>
                <w:highlight w:val="yellow"/>
                <w:lang w:val="en-US" w:eastAsia="zh-CN"/>
              </w:rPr>
              <w:t>15</w:t>
            </w:r>
            <w:r>
              <w:rPr>
                <w:rFonts w:hint="eastAsia" w:ascii="仿宋_GB2312" w:hAnsi="仿宋_GB2312" w:eastAsia="仿宋_GB2312" w:cs="仿宋_GB2312"/>
                <w:sz w:val="18"/>
                <w:szCs w:val="18"/>
                <w:highlight w:val="yellow"/>
                <w:lang w:val="zh-CN"/>
              </w:rPr>
              <w:t>日</w:t>
            </w:r>
            <w:r>
              <w:rPr>
                <w:rFonts w:hint="eastAsia" w:ascii="仿宋_GB2312" w:hAnsi="仿宋_GB2312" w:eastAsia="仿宋_GB2312" w:cs="仿宋_GB2312"/>
                <w:sz w:val="18"/>
                <w:szCs w:val="18"/>
                <w:highlight w:val="yellow"/>
              </w:rPr>
              <w:t>08</w:t>
            </w:r>
            <w:r>
              <w:rPr>
                <w:rFonts w:hint="eastAsia" w:ascii="仿宋_GB2312" w:hAnsi="仿宋_GB2312" w:eastAsia="仿宋_GB2312" w:cs="仿宋_GB2312"/>
                <w:sz w:val="18"/>
                <w:szCs w:val="18"/>
                <w:highlight w:val="yellow"/>
                <w:lang w:val="zh-CN"/>
              </w:rPr>
              <w:t>:</w:t>
            </w:r>
            <w:r>
              <w:rPr>
                <w:rFonts w:hint="eastAsia" w:ascii="仿宋_GB2312" w:hAnsi="仿宋_GB2312" w:eastAsia="仿宋_GB2312" w:cs="仿宋_GB2312"/>
                <w:sz w:val="18"/>
                <w:szCs w:val="18"/>
                <w:highlight w:val="yellow"/>
              </w:rPr>
              <w:t>30</w:t>
            </w:r>
            <w:r>
              <w:rPr>
                <w:rFonts w:hint="eastAsia" w:ascii="仿宋_GB2312" w:hAnsi="仿宋_GB2312" w:eastAsia="仿宋_GB2312" w:cs="仿宋_GB2312"/>
                <w:sz w:val="18"/>
                <w:szCs w:val="18"/>
                <w:highlight w:val="yellow"/>
                <w:lang w:val="zh-CN"/>
              </w:rPr>
              <w:t>截止，逾期不予接受。</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递交地点：温州市鹿城区南汇街道温州大道2305号（温州轨道交通控制中心），浙江幸福轨道交通运营管理有限公司，截止时间当天递交报价文件的交至703B室。</w:t>
            </w:r>
          </w:p>
          <w:p>
            <w:pPr>
              <w:spacing w:line="380" w:lineRule="exact"/>
              <w:outlineLvl w:val="0"/>
              <w:rPr>
                <w:rFonts w:ascii="仿宋_GB2312" w:hAnsi="仿宋_GB2312" w:eastAsia="仿宋_GB2312" w:cs="仿宋_GB2312"/>
                <w:sz w:val="28"/>
                <w:szCs w:val="28"/>
              </w:rPr>
            </w:pPr>
            <w:r>
              <w:rPr>
                <w:rFonts w:hint="eastAsia" w:ascii="仿宋_GB2312" w:hAnsi="仿宋_GB2312" w:eastAsia="仿宋_GB2312" w:cs="仿宋_GB2312"/>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响应文件是否退还</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响应文件开启时间、地点</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highlight w:val="yellow"/>
                <w:lang w:val="zh-CN"/>
              </w:rPr>
              <w:t>开启时间：202</w:t>
            </w:r>
            <w:r>
              <w:rPr>
                <w:rFonts w:hint="eastAsia" w:ascii="仿宋_GB2312" w:hAnsi="仿宋_GB2312" w:eastAsia="仿宋_GB2312" w:cs="仿宋_GB2312"/>
                <w:sz w:val="18"/>
                <w:szCs w:val="18"/>
                <w:highlight w:val="yellow"/>
              </w:rPr>
              <w:t>2</w:t>
            </w:r>
            <w:r>
              <w:rPr>
                <w:rFonts w:hint="eastAsia" w:ascii="仿宋_GB2312" w:hAnsi="仿宋_GB2312" w:eastAsia="仿宋_GB2312" w:cs="仿宋_GB2312"/>
                <w:sz w:val="18"/>
                <w:szCs w:val="18"/>
                <w:highlight w:val="yellow"/>
                <w:lang w:val="zh-CN"/>
              </w:rPr>
              <w:t>年</w:t>
            </w:r>
            <w:r>
              <w:rPr>
                <w:rFonts w:hint="eastAsia" w:ascii="仿宋_GB2312" w:hAnsi="仿宋_GB2312" w:eastAsia="仿宋_GB2312" w:cs="仿宋_GB2312"/>
                <w:sz w:val="18"/>
                <w:szCs w:val="18"/>
                <w:highlight w:val="yellow"/>
                <w:lang w:val="en-US" w:eastAsia="zh-CN"/>
              </w:rPr>
              <w:t>4</w:t>
            </w:r>
            <w:r>
              <w:rPr>
                <w:rFonts w:hint="eastAsia" w:ascii="仿宋_GB2312" w:hAnsi="仿宋_GB2312" w:eastAsia="仿宋_GB2312" w:cs="仿宋_GB2312"/>
                <w:sz w:val="18"/>
                <w:szCs w:val="18"/>
                <w:highlight w:val="yellow"/>
                <w:lang w:val="zh-CN"/>
              </w:rPr>
              <w:t>月</w:t>
            </w:r>
            <w:r>
              <w:rPr>
                <w:rFonts w:hint="eastAsia" w:ascii="仿宋_GB2312" w:hAnsi="仿宋_GB2312" w:eastAsia="仿宋_GB2312" w:cs="仿宋_GB2312"/>
                <w:sz w:val="18"/>
                <w:szCs w:val="18"/>
                <w:highlight w:val="yellow"/>
                <w:lang w:val="en-US" w:eastAsia="zh-CN"/>
              </w:rPr>
              <w:t>15</w:t>
            </w:r>
            <w:r>
              <w:rPr>
                <w:rFonts w:hint="eastAsia" w:ascii="仿宋_GB2312" w:hAnsi="仿宋_GB2312" w:eastAsia="仿宋_GB2312" w:cs="仿宋_GB2312"/>
                <w:sz w:val="18"/>
                <w:szCs w:val="18"/>
                <w:highlight w:val="yellow"/>
                <w:lang w:val="zh-CN"/>
              </w:rPr>
              <w:t>日</w:t>
            </w:r>
            <w:r>
              <w:rPr>
                <w:rFonts w:hint="eastAsia" w:ascii="仿宋_GB2312" w:hAnsi="仿宋_GB2312" w:eastAsia="仿宋_GB2312" w:cs="仿宋_GB2312"/>
                <w:sz w:val="18"/>
                <w:szCs w:val="18"/>
                <w:highlight w:val="yellow"/>
                <w:lang w:val="en-US" w:eastAsia="zh-CN"/>
              </w:rPr>
              <w:t>9</w:t>
            </w:r>
            <w:r>
              <w:rPr>
                <w:rFonts w:hint="eastAsia" w:ascii="仿宋_GB2312" w:hAnsi="仿宋_GB2312" w:eastAsia="仿宋_GB2312" w:cs="仿宋_GB2312"/>
                <w:sz w:val="18"/>
                <w:szCs w:val="18"/>
                <w:highlight w:val="yellow"/>
                <w:lang w:val="zh-CN"/>
              </w:rPr>
              <w:t>时</w:t>
            </w:r>
            <w:r>
              <w:rPr>
                <w:rFonts w:hint="eastAsia" w:ascii="仿宋_GB2312" w:hAnsi="仿宋_GB2312" w:eastAsia="仿宋_GB2312" w:cs="仿宋_GB2312"/>
                <w:sz w:val="18"/>
                <w:szCs w:val="18"/>
                <w:highlight w:val="yellow"/>
              </w:rPr>
              <w:t>00</w:t>
            </w:r>
            <w:r>
              <w:rPr>
                <w:rFonts w:hint="eastAsia" w:ascii="仿宋_GB2312" w:hAnsi="仿宋_GB2312" w:eastAsia="仿宋_GB2312" w:cs="仿宋_GB2312"/>
                <w:sz w:val="18"/>
                <w:szCs w:val="18"/>
                <w:highlight w:val="yellow"/>
                <w:lang w:val="zh-CN"/>
              </w:rPr>
              <w:t>分；</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询比地点：温州市鹿城区南汇街道温州大道2305号713室。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w:t>
            </w:r>
            <w:r>
              <w:rPr>
                <w:rFonts w:hint="eastAsia" w:ascii="仿宋_GB2312" w:hAnsi="仿宋_GB2312" w:eastAsia="仿宋_GB2312" w:cs="仿宋_GB2312"/>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响应文件密封性检查</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评审小组</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评审小组构成：</w:t>
            </w:r>
            <w:r>
              <w:rPr>
                <w:rFonts w:hint="eastAsia" w:ascii="仿宋_GB2312" w:hAnsi="仿宋_GB2312" w:eastAsia="仿宋_GB2312" w:cs="仿宋_GB2312"/>
                <w:sz w:val="18"/>
                <w:szCs w:val="18"/>
              </w:rPr>
              <w:t>5</w:t>
            </w:r>
            <w:r>
              <w:rPr>
                <w:rFonts w:hint="eastAsia" w:ascii="仿宋_GB2312" w:hAnsi="仿宋_GB2312" w:eastAsia="仿宋_GB2312" w:cs="仿宋_GB2312"/>
                <w:sz w:val="18"/>
                <w:szCs w:val="18"/>
                <w:lang w:val="zh-CN"/>
              </w:rPr>
              <w:t>人，其中采购人代表1人，专家</w:t>
            </w:r>
            <w:r>
              <w:rPr>
                <w:rFonts w:hint="eastAsia" w:ascii="仿宋_GB2312" w:hAnsi="仿宋_GB2312" w:eastAsia="仿宋_GB2312" w:cs="仿宋_GB2312"/>
                <w:sz w:val="18"/>
                <w:szCs w:val="18"/>
              </w:rPr>
              <w:t>4</w:t>
            </w:r>
            <w:r>
              <w:rPr>
                <w:rFonts w:hint="eastAsia" w:ascii="仿宋_GB2312" w:hAnsi="仿宋_GB2312" w:eastAsia="仿宋_GB2312" w:cs="仿宋_GB2312"/>
                <w:sz w:val="18"/>
                <w:szCs w:val="18"/>
                <w:lang w:val="zh-CN"/>
              </w:rPr>
              <w:t>人。</w:t>
            </w:r>
          </w:p>
        </w:tc>
      </w:tr>
      <w:tr>
        <w:tblPrEx>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26</w:t>
            </w:r>
          </w:p>
        </w:tc>
        <w:tc>
          <w:tcPr>
            <w:tcW w:w="2062" w:type="dxa"/>
            <w:tcBorders>
              <w:top w:val="single" w:color="auto" w:sz="6" w:space="0"/>
              <w:left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评审办法</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□综合评分法</w:t>
            </w:r>
          </w:p>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√经评审的最低价法（即在全部满足询比文件实质性要求的前提下，依据统一的价格要素评定评议价。）</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27</w:t>
            </w:r>
          </w:p>
        </w:tc>
        <w:tc>
          <w:tcPr>
            <w:tcW w:w="2062" w:type="dxa"/>
            <w:tcBorders>
              <w:top w:val="single" w:color="auto" w:sz="6" w:space="0"/>
              <w:left w:val="single" w:color="auto" w:sz="6" w:space="0"/>
              <w:bottom w:val="single" w:color="auto" w:sz="6" w:space="0"/>
              <w:right w:val="single" w:color="auto" w:sz="6" w:space="0"/>
            </w:tcBorders>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评审专家会推荐中选候选人的人数</w:t>
            </w:r>
          </w:p>
        </w:tc>
        <w:tc>
          <w:tcPr>
            <w:tcW w:w="6948" w:type="dxa"/>
            <w:tcBorders>
              <w:top w:val="single" w:color="auto" w:sz="6" w:space="0"/>
              <w:left w:val="single" w:color="auto" w:sz="6" w:space="0"/>
              <w:bottom w:val="single" w:color="auto" w:sz="6" w:space="0"/>
              <w:right w:val="single" w:color="auto" w:sz="6" w:space="0"/>
            </w:tcBorders>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1人</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履约保证金</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无</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重新采购和成交通知</w:t>
            </w:r>
          </w:p>
        </w:tc>
        <w:tc>
          <w:tcPr>
            <w:tcW w:w="6948"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若有效报价不足3家，采购人有权终止评审另行选择采购方式。</w:t>
            </w:r>
          </w:p>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成交结果将在</w:t>
            </w:r>
            <w:r>
              <w:rPr>
                <w:rFonts w:hint="eastAsia" w:ascii="仿宋_GB2312" w:hAnsi="仿宋_GB2312" w:eastAsia="仿宋_GB2312" w:cs="仿宋_GB2312"/>
                <w:sz w:val="18"/>
                <w:szCs w:val="18"/>
                <w:u w:val="single"/>
                <w:lang w:val="zh-CN"/>
              </w:rPr>
              <w:t>浙江省轨道交通运营管理集团有限公司官网公示</w:t>
            </w:r>
            <w:r>
              <w:rPr>
                <w:rFonts w:hint="eastAsia" w:ascii="仿宋_GB2312" w:hAnsi="仿宋_GB2312" w:eastAsia="仿宋_GB2312" w:cs="仿宋_GB2312"/>
                <w:sz w:val="18"/>
                <w:szCs w:val="18"/>
                <w:lang w:val="zh-CN"/>
              </w:rPr>
              <w:t>（http://www.cncico.com/sub_company_index/9418），公示期限：1个工作日。如公示期内无异议，将于公示结束后以电话/电子邮件形式通知成交人。</w:t>
            </w: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签订合同</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采购人和中选人应当在中选通知书发出之日起 30 日内，根据询比采购文件和中选人的响应报价文件订立书面合同。</w:t>
            </w:r>
          </w:p>
        </w:tc>
      </w:tr>
      <w:tr>
        <w:tblPrEx>
          <w:tblCellMar>
            <w:top w:w="0" w:type="dxa"/>
            <w:left w:w="108" w:type="dxa"/>
            <w:bottom w:w="0" w:type="dxa"/>
            <w:right w:w="108" w:type="dxa"/>
          </w:tblCellMar>
        </w:tblPrEx>
        <w:trPr>
          <w:trHeight w:val="76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r>
              <w:rPr>
                <w:rFonts w:hint="eastAsia" w:ascii="仿宋_GB2312" w:hAnsi="仿宋_GB2312" w:eastAsia="仿宋_GB2312" w:cs="仿宋_GB2312"/>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jc w:val="lef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付款方式</w:t>
            </w:r>
          </w:p>
        </w:tc>
        <w:tc>
          <w:tcPr>
            <w:tcW w:w="6948" w:type="dxa"/>
            <w:tcBorders>
              <w:top w:val="single" w:color="auto" w:sz="6" w:space="0"/>
              <w:left w:val="single" w:color="auto" w:sz="6" w:space="0"/>
              <w:bottom w:val="single" w:color="auto" w:sz="6" w:space="0"/>
              <w:right w:val="single" w:color="auto" w:sz="6" w:space="0"/>
            </w:tcBorders>
            <w:vAlign w:val="center"/>
          </w:tcPr>
          <w:p>
            <w:pPr>
              <w:spacing w:line="420" w:lineRule="exact"/>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按合同单价（含增值税）和卖方实际送货数量，物资经验收合格后，且买方审核相关单据无误后30天内，经买方批准，买方按该批实际到货货物总价的</w:t>
            </w:r>
            <w:r>
              <w:rPr>
                <w:rFonts w:hint="eastAsia" w:ascii="仿宋_GB2312" w:hAnsi="仿宋_GB2312" w:eastAsia="仿宋_GB2312" w:cs="仿宋_GB2312"/>
                <w:sz w:val="18"/>
                <w:szCs w:val="18"/>
              </w:rPr>
              <w:t>95</w:t>
            </w:r>
            <w:r>
              <w:rPr>
                <w:rFonts w:hint="eastAsia" w:ascii="仿宋_GB2312" w:hAnsi="仿宋_GB2312" w:eastAsia="仿宋_GB2312" w:cs="仿宋_GB2312"/>
                <w:sz w:val="18"/>
                <w:szCs w:val="18"/>
                <w:lang w:val="zh-CN"/>
              </w:rPr>
              <w:t>%支付给卖方，</w:t>
            </w:r>
            <w:r>
              <w:rPr>
                <w:rFonts w:hint="eastAsia" w:ascii="仿宋_GB2312" w:hAnsi="仿宋_GB2312" w:eastAsia="仿宋_GB2312" w:cs="仿宋_GB2312"/>
                <w:sz w:val="18"/>
                <w:szCs w:val="18"/>
              </w:rPr>
              <w:t>质保期满后支付余款</w:t>
            </w:r>
            <w:r>
              <w:rPr>
                <w:rFonts w:hint="eastAsia" w:ascii="仿宋_GB2312" w:hAnsi="仿宋_GB2312" w:eastAsia="仿宋_GB2312" w:cs="仿宋_GB2312"/>
                <w:sz w:val="18"/>
                <w:szCs w:val="18"/>
                <w:lang w:val="zh-CN"/>
              </w:rPr>
              <w:t>。</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监督</w:t>
            </w:r>
          </w:p>
        </w:tc>
        <w:tc>
          <w:tcPr>
            <w:tcW w:w="6948"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本项目的采购活动以及相关当事人应当接受浙江幸福轨道交通运营管理有限公司纪检监督部门的监督。</w:t>
            </w:r>
          </w:p>
        </w:tc>
      </w:tr>
      <w:tr>
        <w:tblPrEx>
          <w:tblCellMar>
            <w:top w:w="0" w:type="dxa"/>
            <w:left w:w="108" w:type="dxa"/>
            <w:bottom w:w="0" w:type="dxa"/>
            <w:right w:w="108" w:type="dxa"/>
          </w:tblCellMar>
        </w:tblPrEx>
        <w:trPr>
          <w:trHeight w:val="109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否决响应文件的情形</w:t>
            </w:r>
          </w:p>
        </w:tc>
        <w:tc>
          <w:tcPr>
            <w:tcW w:w="6948"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响应文件存在以下情形之一的，其响应文件将被否决：</w:t>
            </w:r>
          </w:p>
          <w:p>
            <w:pPr>
              <w:autoSpaceDE w:val="0"/>
              <w:autoSpaceDN w:val="0"/>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（1）</w:t>
            </w:r>
            <w:r>
              <w:rPr>
                <w:rFonts w:hint="eastAsia" w:ascii="仿宋_GB2312" w:hAnsi="仿宋_GB2312" w:eastAsia="仿宋_GB2312" w:cs="仿宋_GB2312"/>
                <w:sz w:val="18"/>
                <w:szCs w:val="18"/>
              </w:rPr>
              <w:t>供应商的资格条件未满足本前附表第7项；响应文件未满足第17项要求；</w:t>
            </w:r>
          </w:p>
          <w:p>
            <w:pPr>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（2）商务/技术出现重大负偏离，或采购人不允许的负偏离，由评审小组确定；</w:t>
            </w:r>
          </w:p>
          <w:p>
            <w:pPr>
              <w:pStyle w:val="2"/>
              <w:spacing w:after="0"/>
              <w:ind w:firstLine="0" w:firstLineChars="0"/>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w:t>
            </w:r>
            <w:r>
              <w:rPr>
                <w:rFonts w:hint="eastAsia" w:ascii="仿宋_GB2312" w:hAnsi="仿宋_GB2312" w:eastAsia="仿宋_GB2312" w:cs="仿宋_GB2312"/>
                <w:sz w:val="18"/>
                <w:szCs w:val="18"/>
              </w:rPr>
              <w:t>同一投标人提交两个以上不同的投标文件或者投标报价的（招标文件要求提交备选投标的除外）</w:t>
            </w:r>
            <w:r>
              <w:rPr>
                <w:rFonts w:hint="eastAsia" w:ascii="仿宋_GB2312" w:hAnsi="仿宋_GB2312" w:eastAsia="仿宋_GB2312" w:cs="仿宋_GB2312"/>
                <w:sz w:val="18"/>
                <w:szCs w:val="18"/>
                <w:lang w:val="zh-CN"/>
              </w:rPr>
              <w:t>。</w:t>
            </w:r>
          </w:p>
        </w:tc>
      </w:tr>
    </w:tbl>
    <w:p>
      <w:pPr>
        <w:spacing w:line="380" w:lineRule="exact"/>
        <w:ind w:left="420"/>
        <w:rPr>
          <w:rFonts w:ascii="仿宋_GB2312" w:hAnsi="宋体" w:eastAsia="仿宋_GB2312"/>
          <w:szCs w:val="21"/>
        </w:rPr>
      </w:pPr>
    </w:p>
    <w:p>
      <w:pPr>
        <w:numPr>
          <w:ilvl w:val="0"/>
          <w:numId w:val="2"/>
        </w:numPr>
        <w:spacing w:line="380" w:lineRule="exact"/>
        <w:outlineLvl w:val="1"/>
        <w:rPr>
          <w:rFonts w:ascii="仿宋_GB2312" w:hAnsi="宋体" w:eastAsia="仿宋_GB2312"/>
          <w:szCs w:val="21"/>
        </w:rPr>
      </w:pPr>
      <w:r>
        <w:rPr>
          <w:rFonts w:hint="eastAsia" w:ascii="仿宋_GB2312" w:hAnsi="宋体" w:eastAsia="仿宋_GB2312"/>
          <w:szCs w:val="21"/>
        </w:rPr>
        <w:t>供应商须知</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2.1响应文件组成</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（1）报价书（或表）（格式见第六章附件1）</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（2）营业执照副本复印件</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（3）“信用中国”网站（www.creditchina.gov.cn)供应商信用记录截图（截止至项目公告时间）</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（4）供应商法定代表人身份证明（格式见第六章附件2）</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（5）供应商法定代表人授权委托（格式见第六章附件3，法定代表人签署报价文件则不需要）</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（6）开具增值税专用发票承诺函（格式见第六章附件4）</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（7）合同条款确认函（格式见第六章附件5）</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（8）商务偏差表（格式见第六章附件6）</w:t>
      </w:r>
    </w:p>
    <w:p>
      <w:pPr>
        <w:spacing w:after="30" w:line="360" w:lineRule="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（9）供应商认为有必要其他的资质或资料（可选提供）</w:t>
      </w:r>
    </w:p>
    <w:p>
      <w:pPr>
        <w:pStyle w:val="14"/>
        <w:spacing w:after="30" w:line="360" w:lineRule="auto"/>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以上内容报价时（正本）均须加盖供应商公章。供应商报价响应文件由商务部分和技术部分两部分组成，商务和技术要求分别进行编制（可编入同一本文件中）。</w:t>
      </w:r>
    </w:p>
    <w:p>
      <w:pPr>
        <w:adjustRightInd w:val="0"/>
        <w:snapToGrid w:val="0"/>
        <w:spacing w:after="30" w:line="360"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 响应文件的编制要求</w:t>
      </w:r>
    </w:p>
    <w:p>
      <w:pPr>
        <w:adjustRightInd w:val="0"/>
        <w:snapToGrid w:val="0"/>
        <w:spacing w:after="30" w:line="360" w:lineRule="auto"/>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2.2.1 一般要求</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响应人应按照询比采购文件的要求编制报价文件，可以增加说明或描述性文字。响应文件与询比采购文件如有差异之处，请说明。</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响应文件应用不褪色的材料书写或打印。</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如果由响应人的法定代表人亲自签署投标文件，则不需提交授权委托书。</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签字或盖章的其它要求见须知前附表。</w:t>
      </w:r>
    </w:p>
    <w:p>
      <w:pPr>
        <w:pStyle w:val="16"/>
        <w:pBdr>
          <w:top w:val="none" w:color="auto" w:sz="0" w:space="1"/>
          <w:left w:val="none" w:color="auto" w:sz="0" w:space="4"/>
          <w:bottom w:val="none" w:color="auto" w:sz="0" w:space="1"/>
          <w:right w:val="none" w:color="auto" w:sz="0" w:space="4"/>
        </w:pBdr>
        <w:spacing w:after="30" w:line="360" w:lineRule="auto"/>
        <w:ind w:left="0" w:leftChars="0" w:firstLine="360"/>
        <w:rPr>
          <w:rFonts w:ascii="仿宋_GB2312" w:hAnsi="仿宋_GB2312" w:eastAsia="仿宋_GB2312" w:cs="仿宋_GB2312"/>
          <w:sz w:val="18"/>
          <w:szCs w:val="18"/>
        </w:rPr>
      </w:pPr>
      <w:r>
        <w:rPr>
          <w:rFonts w:hint="eastAsia" w:ascii="仿宋_GB2312" w:hAnsi="仿宋_GB2312" w:eastAsia="仿宋_GB2312" w:cs="仿宋_GB2312"/>
          <w:b/>
          <w:bCs/>
          <w:sz w:val="18"/>
          <w:szCs w:val="18"/>
        </w:rPr>
        <w:t>因纸质报价文件未按格式要求编制，而造成报价失败的，由响应人自行承担责任</w:t>
      </w:r>
      <w:r>
        <w:rPr>
          <w:rFonts w:hint="eastAsia" w:ascii="仿宋_GB2312" w:hAnsi="仿宋_GB2312" w:eastAsia="仿宋_GB2312" w:cs="仿宋_GB2312"/>
          <w:sz w:val="18"/>
          <w:szCs w:val="18"/>
        </w:rPr>
        <w:t>。</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b/>
          <w:bCs/>
          <w:sz w:val="18"/>
          <w:szCs w:val="18"/>
        </w:rPr>
        <w:t>封套上写明</w:t>
      </w:r>
      <w:r>
        <w:rPr>
          <w:rFonts w:hint="eastAsia" w:ascii="仿宋_GB2312" w:hAnsi="仿宋_GB2312" w:eastAsia="仿宋_GB2312" w:cs="仿宋_GB2312"/>
          <w:sz w:val="18"/>
          <w:szCs w:val="18"/>
        </w:rPr>
        <w:t xml:space="preserve">： </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供应商地址：</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供应商名称：</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（项目名称）响应文件</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在    年  月  日  时  分前不得开启。</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2.2.2响应文件的语言</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响应文件应用中文编写，必要时专用术语应附有中文注释。响应文件中所有计量均采用中华人民共和国法定计量单位。</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2.3 报价要求</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2.3.1报价要求</w:t>
      </w:r>
    </w:p>
    <w:p>
      <w:pPr>
        <w:pStyle w:val="46"/>
        <w:adjustRightInd w:val="0"/>
        <w:snapToGrid w:val="0"/>
        <w:spacing w:after="30" w:line="360" w:lineRule="auto"/>
        <w:ind w:left="1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要求含税，根据采购询比文件中的相关条款、描述、技术标准和要求及答疑和采购询比文件的补充文件进行报价。供应商应自行组织人员对现场及周围环境进行踏勘，以便供应商获取须自己负责的有关编制响应文件和签署合同所需的所有资料。踏勘现场所发生的费用由供应商自行承担。</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响应文件报价有效期应与响应文件有效期相一致。</w:t>
      </w:r>
    </w:p>
    <w:p>
      <w:pPr>
        <w:pStyle w:val="46"/>
        <w:adjustRightInd w:val="0"/>
        <w:snapToGrid w:val="0"/>
        <w:spacing w:after="30" w:line="360" w:lineRule="auto"/>
        <w:ind w:left="420" w:firstLine="0" w:firstLineChars="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响应文件报价所使用的货币为人民币。</w:t>
      </w:r>
    </w:p>
    <w:p>
      <w:pPr>
        <w:rPr>
          <w:rFonts w:ascii="方正小标宋简体" w:hAnsi="黑体" w:eastAsia="方正小标宋简体"/>
          <w:sz w:val="32"/>
          <w:szCs w:val="32"/>
        </w:rPr>
      </w:pPr>
      <w:r>
        <w:rPr>
          <w:rFonts w:hint="eastAsia" w:ascii="方正小标宋简体" w:hAnsi="黑体" w:eastAsia="方正小标宋简体"/>
          <w:sz w:val="32"/>
          <w:szCs w:val="32"/>
        </w:rPr>
        <w:br w:type="page"/>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第三章 评审办法</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评审原则</w:t>
      </w:r>
    </w:p>
    <w:p>
      <w:pPr>
        <w:adjustRightInd w:val="0"/>
        <w:snapToGrid w:val="0"/>
        <w:spacing w:line="400" w:lineRule="exact"/>
        <w:ind w:firstLine="360" w:firstLineChars="200"/>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评审应遵循公平、公正、科学、择优的原则。</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评审组织</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评审工作由采购人依规组建的评审小组负责，评审小组的组建见响应人须知前附表，评审小组成员为不少于3人的单数。</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评审小组应当按照采购文件确定的评审标准和方法，客观、公正对响应文件进行评审和比较，采购文件没有规定的评审标准和方法不得作为评审的依据。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评审小组对响应文件作出的评审结论，应当符合有关法律、法规、规章和采购文件的规定。</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评审小组在评审过程中有不同意见的，遵从少数服从多数的原则。</w:t>
      </w:r>
    </w:p>
    <w:p>
      <w:pPr>
        <w:numPr>
          <w:ilvl w:val="0"/>
          <w:numId w:val="4"/>
        </w:numPr>
        <w:spacing w:line="380" w:lineRule="exact"/>
        <w:outlineLvl w:val="1"/>
        <w:rPr>
          <w:rFonts w:ascii="仿宋_GB2312" w:hAnsi="仿宋_GB2312" w:eastAsia="仿宋_GB2312" w:cs="仿宋_GB2312"/>
          <w:szCs w:val="21"/>
        </w:rPr>
      </w:pPr>
      <w:r>
        <w:rPr>
          <w:rFonts w:hint="eastAsia" w:ascii="仿宋_GB2312" w:hAnsi="仿宋_GB2312" w:eastAsia="仿宋_GB2312" w:cs="仿宋_GB2312"/>
          <w:szCs w:val="21"/>
        </w:rPr>
        <w:t>评审程序和内容</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（一）熟悉采购文件和评审办法；</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（二）响应文件的初步评审；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（三）响应文件的详细评审；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（四）必要时对响应文件中的问题进行询标，包括拟作出否决响应文件决定前对相关响应人进行的询问核实；</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（五）完成评审报告，推荐中选候选人。</w:t>
      </w:r>
    </w:p>
    <w:p>
      <w:pPr>
        <w:numPr>
          <w:ilvl w:val="0"/>
          <w:numId w:val="4"/>
        </w:numPr>
        <w:spacing w:line="380" w:lineRule="exact"/>
        <w:outlineLvl w:val="1"/>
        <w:rPr>
          <w:rFonts w:ascii="仿宋_GB2312" w:hAnsi="宋体" w:eastAsia="仿宋_GB2312"/>
          <w:szCs w:val="21"/>
        </w:rPr>
      </w:pPr>
      <w:r>
        <w:rPr>
          <w:rFonts w:hint="eastAsia" w:ascii="仿宋_GB2312" w:hAnsi="宋体" w:eastAsia="仿宋_GB2312"/>
          <w:szCs w:val="21"/>
        </w:rPr>
        <w:t>评审细则</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（一）响应文件的初步评审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评审小组应依照采购文件的要求和规定，首先对供应商的响应文件进行初步评审。响应文件中有含义不明确的内容、明显文字或计算错误，评审专家认为需要供应商作出必要澄清、说明的，应当组织询问。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如评审小组发现响应文件存在供应商须知前附表第33款“否决响应文件的情形”所列情形之一的，经询问核实并认定后，即可判定该响应文件初步评审不通过予以否决，不再进入后续的详细评审环节。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询问问题及供应商的澄清、说明不得超出响应报价文件的范围或者改变响应报价文件的实质性内容。 </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（二）响应文件的报价评审</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1、由评审专家全体成员对响应文件的报价进行评审。评审专家应对报价的范围、数量、单价、费用组成和总价等进行全面审阅和对比分析，找出报价差异的原因及存在的问题。</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2、错误的修正</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pPr>
        <w:adjustRightInd w:val="0"/>
        <w:snapToGrid w:val="0"/>
        <w:spacing w:line="400" w:lineRule="exact"/>
        <w:ind w:firstLine="360" w:firstLineChars="200"/>
        <w:rPr>
          <w:rFonts w:asciiTheme="minorEastAsia" w:hAnsiTheme="minorEastAsia" w:eastAsiaTheme="minorEastAsia"/>
          <w:sz w:val="18"/>
          <w:szCs w:val="18"/>
        </w:rPr>
      </w:pPr>
      <w:r>
        <w:rPr>
          <w:rFonts w:hint="eastAsia" w:ascii="仿宋_GB2312" w:hAnsi="仿宋_GB2312" w:eastAsia="仿宋_GB2312" w:cs="仿宋_GB2312"/>
          <w:sz w:val="18"/>
          <w:szCs w:val="18"/>
        </w:rPr>
        <w:t>当响应文件报价有算术错误时，评审专家按</w:t>
      </w:r>
      <w:r>
        <w:rPr>
          <w:rFonts w:hint="eastAsia" w:ascii="仿宋_GB2312" w:hAnsi="仿宋_GB2312" w:eastAsia="仿宋_GB2312" w:cs="仿宋_GB2312"/>
          <w:b/>
          <w:bCs/>
          <w:sz w:val="18"/>
          <w:szCs w:val="18"/>
        </w:rPr>
        <w:t>有利于采购人的原则</w:t>
      </w:r>
      <w:r>
        <w:rPr>
          <w:rFonts w:hint="eastAsia" w:ascii="仿宋_GB2312" w:hAnsi="仿宋_GB2312" w:eastAsia="仿宋_GB2312" w:cs="仿宋_GB2312"/>
          <w:sz w:val="18"/>
          <w:szCs w:val="18"/>
        </w:rPr>
        <w:t>对响应文件报价进行修正，响应供应商必须书面确认修正价格，承诺如中选接受修正价格为合同签约价。响应供应商不接受修正价格的，其响应文件作否决处理。</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3、评审基准由评审专家依据下述方法计算，除计算差错外，确认后的评审基准价在本次采购期间保持不变。</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计算差错，仅限于以下两种情况：（1）纯算术性四则运算差错；（2）未按约定的计算方法，多计或者少计响应供应商报价的。</w:t>
      </w:r>
    </w:p>
    <w:p>
      <w:pPr>
        <w:numPr>
          <w:ilvl w:val="0"/>
          <w:numId w:val="5"/>
        </w:numPr>
        <w:adjustRightInd w:val="0"/>
        <w:snapToGrid w:val="0"/>
        <w:spacing w:line="400" w:lineRule="exact"/>
        <w:ind w:firstLine="361" w:firstLineChars="200"/>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报价评分</w:t>
      </w:r>
      <w:r>
        <w:rPr>
          <w:rFonts w:hint="eastAsia" w:asciiTheme="minorEastAsia" w:hAnsiTheme="minorEastAsia" w:eastAsiaTheme="minorEastAsia"/>
          <w:b/>
          <w:kern w:val="0"/>
          <w:sz w:val="18"/>
          <w:szCs w:val="18"/>
        </w:rPr>
        <w:t>(100分为价格权值)</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4.1评分范围：通过初步评审的所有响应文件进入评分范围。</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4.3如出现（不含增值税）报价相同的情况，则（含增值税报价低的成交候选人列前，如仍相同则）所报产品品牌或质量更优的报价人列为成交候选人。如报价和产品均相同则注册资金大的报价人列为成交候选人。</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4.4本次采购产生成交候选人的，采购人将以结果公示的形式予以公布；</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4.5响应文件报价有其他错误的，按以下原则要求供应商对响应文件报价进行修正，并要求供应商书面澄清确认。供应商拒不澄清确认的，应当否决其响应文件：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（1）响应文件中的大写金额与小写金额不一致的，以大写金额为准；</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（2）总价金额与单价金额不一致的，以单价金额为准，但单价金额小数点有明显错误的除外；</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（3）响应文件报价为各分项报价金额之和，响应文件报价与分项报价的合价不一致的，应以各分项合价累计数为准，修正响应文件报价；</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（4）如果分项报价中存在缺漏项，则视为缺漏项价格已包含在其他分项报价之中。</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4.6发生下列情形之一的，采购人有权终止本次采购或改变采购方式，不再通知：</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（1）至报价截止时间，报价人（包括视同报价）不足3家；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（2）经评审，有效报价不足3家；</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（3）收到投诉或质疑。</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4.7对响应人进行排序，推荐中选候选人</w:t>
      </w:r>
    </w:p>
    <w:p>
      <w:pPr>
        <w:adjustRightInd w:val="0"/>
        <w:snapToGrid w:val="0"/>
        <w:spacing w:after="30" w:line="360" w:lineRule="auto"/>
        <w:ind w:firstLine="360" w:firstLineChars="2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采用总项总价（不含增值税）最低价方法确定中选候选人。</w:t>
      </w:r>
    </w:p>
    <w:p>
      <w:pPr>
        <w:numPr>
          <w:ilvl w:val="0"/>
          <w:numId w:val="4"/>
        </w:numPr>
        <w:spacing w:line="380" w:lineRule="exact"/>
        <w:outlineLvl w:val="1"/>
        <w:rPr>
          <w:rFonts w:ascii="仿宋_GB2312" w:hAnsi="宋体" w:eastAsia="仿宋_GB2312"/>
          <w:szCs w:val="21"/>
        </w:rPr>
      </w:pPr>
      <w:r>
        <w:rPr>
          <w:rFonts w:hint="eastAsia" w:ascii="仿宋_GB2312" w:hAnsi="宋体" w:eastAsia="仿宋_GB2312"/>
          <w:szCs w:val="21"/>
        </w:rPr>
        <w:t>完成评审报告</w:t>
      </w:r>
    </w:p>
    <w:p>
      <w:pPr>
        <w:adjustRightInd w:val="0"/>
        <w:snapToGrid w:val="0"/>
        <w:spacing w:line="400" w:lineRule="exact"/>
        <w:ind w:firstLine="361" w:firstLineChars="200"/>
        <w:rPr>
          <w:rFonts w:ascii="仿宋_GB2312" w:hAnsi="仿宋_GB2312" w:eastAsia="仿宋_GB2312" w:cs="仿宋_GB2312"/>
          <w:sz w:val="18"/>
          <w:szCs w:val="18"/>
        </w:rPr>
      </w:pPr>
      <w:r>
        <w:rPr>
          <w:rFonts w:hint="eastAsia" w:ascii="仿宋_GB2312" w:hAnsi="仿宋_GB2312" w:eastAsia="仿宋_GB2312" w:cs="仿宋_GB2312"/>
          <w:b/>
          <w:kern w:val="0"/>
          <w:sz w:val="18"/>
          <w:szCs w:val="18"/>
        </w:rPr>
        <w:t>（一）评审小组应当向采购人提交书面评审报告。</w:t>
      </w:r>
      <w:r>
        <w:rPr>
          <w:rFonts w:hint="eastAsia" w:ascii="仿宋_GB2312" w:hAnsi="仿宋_GB2312" w:eastAsia="仿宋_GB2312" w:cs="仿宋_GB2312"/>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pPr>
        <w:adjustRightInd w:val="0"/>
        <w:snapToGrid w:val="0"/>
        <w:spacing w:line="400" w:lineRule="exact"/>
        <w:ind w:firstLine="361" w:firstLineChars="200"/>
        <w:rPr>
          <w:rFonts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（二）评审报告应包括以下内容：</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1、评审记录；</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2、评审内容、过程和结果；</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3、评审澄清纪要；</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4、否决响应文件情况说明及依据；</w:t>
      </w:r>
    </w:p>
    <w:p>
      <w:pPr>
        <w:adjustRightInd w:val="0"/>
        <w:snapToGrid w:val="0"/>
        <w:spacing w:line="400" w:lineRule="exact"/>
        <w:ind w:firstLine="360" w:firstLineChars="200"/>
        <w:rPr>
          <w:rFonts w:ascii="仿宋_GB2312" w:hAnsi="仿宋_GB2312" w:eastAsia="仿宋_GB2312" w:cs="仿宋_GB2312"/>
          <w:sz w:val="18"/>
          <w:szCs w:val="18"/>
        </w:rPr>
      </w:pPr>
      <w:r>
        <w:rPr>
          <w:rFonts w:hint="eastAsia" w:ascii="仿宋_GB2312" w:hAnsi="仿宋_GB2312" w:eastAsia="仿宋_GB2312" w:cs="仿宋_GB2312"/>
          <w:sz w:val="18"/>
          <w:szCs w:val="18"/>
        </w:rPr>
        <w:t>5、推荐中选候选人；</w:t>
      </w:r>
    </w:p>
    <w:p>
      <w:pPr>
        <w:adjustRightInd w:val="0"/>
        <w:snapToGrid w:val="0"/>
        <w:spacing w:line="400" w:lineRule="exact"/>
        <w:ind w:firstLine="360" w:firstLineChars="200"/>
        <w:rPr>
          <w:rFonts w:ascii="仿宋_GB2312" w:hAnsi="仿宋_GB2312" w:eastAsia="仿宋_GB2312" w:cs="仿宋_GB2312"/>
          <w:sz w:val="18"/>
          <w:szCs w:val="18"/>
        </w:rPr>
        <w:sectPr>
          <w:footerReference r:id="rId4" w:type="first"/>
          <w:footerReference r:id="rId3" w:type="default"/>
          <w:pgSz w:w="11907" w:h="16840"/>
          <w:pgMar w:top="1361" w:right="1474" w:bottom="568" w:left="1588" w:header="680" w:footer="680" w:gutter="0"/>
          <w:pgNumType w:fmt="numberInDash" w:start="1"/>
          <w:cols w:space="720" w:num="1"/>
          <w:titlePg/>
          <w:docGrid w:type="lines" w:linePitch="312" w:charSpace="0"/>
        </w:sectPr>
      </w:pPr>
      <w:r>
        <w:rPr>
          <w:rFonts w:hint="eastAsia" w:ascii="仿宋_GB2312" w:hAnsi="仿宋_GB2312" w:eastAsia="仿宋_GB2312" w:cs="仿宋_GB2312"/>
          <w:sz w:val="18"/>
          <w:szCs w:val="18"/>
        </w:rPr>
        <w:t>6、其他建议。</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第四章 合同条款及需求</w:t>
      </w:r>
    </w:p>
    <w:p>
      <w:pPr>
        <w:spacing w:line="360" w:lineRule="auto"/>
        <w:jc w:val="center"/>
        <w:rPr>
          <w:rFonts w:ascii="黑体" w:hAnsi="黑体" w:eastAsia="黑体"/>
          <w:b/>
          <w:color w:val="000000"/>
          <w:kern w:val="0"/>
          <w:sz w:val="44"/>
          <w:szCs w:val="44"/>
        </w:rPr>
      </w:pPr>
      <w:r>
        <w:rPr>
          <w:rFonts w:hint="eastAsia" w:ascii="黑体" w:hAnsi="黑体" w:eastAsia="黑体"/>
          <w:b/>
          <w:color w:val="000000"/>
          <w:kern w:val="0"/>
          <w:sz w:val="44"/>
          <w:szCs w:val="44"/>
        </w:rPr>
        <w:t>一、合同协议书</w:t>
      </w:r>
    </w:p>
    <w:p>
      <w:pPr>
        <w:ind w:firstLine="420" w:firstLineChars="200"/>
        <w:jc w:val="left"/>
        <w:rPr>
          <w:rFonts w:cs="Arial"/>
          <w:b/>
          <w:szCs w:val="21"/>
          <w:u w:val="single"/>
        </w:rPr>
      </w:pPr>
      <w:r>
        <w:rPr>
          <w:rFonts w:hint="eastAsia" w:ascii="宋体" w:hAnsi="宋体"/>
          <w:szCs w:val="21"/>
        </w:rPr>
        <w:t>本协议由浙江幸福轨道交通运营管理有限公司(以下简称“买方”)与</w:t>
      </w:r>
      <w:r>
        <w:rPr>
          <w:rFonts w:hint="eastAsia" w:ascii="宋体" w:hAnsi="宋体"/>
          <w:szCs w:val="21"/>
          <w:u w:val="single"/>
        </w:rPr>
        <w:t xml:space="preserve">              </w:t>
      </w:r>
      <w:r>
        <w:rPr>
          <w:rFonts w:hint="eastAsia" w:ascii="宋体" w:hAnsi="宋体"/>
          <w:szCs w:val="21"/>
        </w:rPr>
        <w:t>(以下简称“卖方”)共同签署。鉴于买方为采购</w:t>
      </w:r>
      <w:r>
        <w:rPr>
          <w:rFonts w:ascii="宋体" w:hAnsi="宋体"/>
          <w:szCs w:val="21"/>
          <w:u w:val="single"/>
        </w:rPr>
        <w:t>浙</w:t>
      </w:r>
      <w:r>
        <w:rPr>
          <w:rFonts w:hint="eastAsia" w:ascii="宋体" w:hAnsi="宋体"/>
          <w:szCs w:val="21"/>
          <w:u w:val="single"/>
        </w:rPr>
        <w:t>江幸福轨道公司2022年度工器具采购</w:t>
      </w:r>
      <w:r>
        <w:rPr>
          <w:rFonts w:ascii="宋体" w:hAnsi="宋体"/>
          <w:szCs w:val="21"/>
          <w:u w:val="single"/>
        </w:rPr>
        <w:t>项目</w:t>
      </w:r>
      <w:r>
        <w:rPr>
          <w:rFonts w:hint="eastAsia" w:ascii="宋体" w:hAnsi="宋体"/>
          <w:szCs w:val="21"/>
        </w:rPr>
        <w:t>，买卖双方根据《中华人民共和国民法典》等相关法律、法规以及本项目公告文件的规定，在平等、自愿的原则基础上共同商定，达成如下协议：</w:t>
      </w:r>
    </w:p>
    <w:p>
      <w:pPr>
        <w:spacing w:line="420" w:lineRule="exact"/>
        <w:ind w:firstLine="420" w:firstLineChars="200"/>
        <w:rPr>
          <w:rFonts w:ascii="宋体" w:hAnsi="宋体"/>
          <w:szCs w:val="21"/>
        </w:rPr>
      </w:pPr>
      <w:r>
        <w:rPr>
          <w:rFonts w:hint="eastAsia" w:ascii="宋体" w:hAnsi="宋体"/>
          <w:szCs w:val="21"/>
        </w:rPr>
        <w:t>1．本协议书中所用术语的含义与下文提到合同条款中相应术语的含义相同。</w:t>
      </w:r>
    </w:p>
    <w:p>
      <w:pPr>
        <w:spacing w:line="420" w:lineRule="exact"/>
        <w:ind w:firstLine="420" w:firstLineChars="200"/>
        <w:rPr>
          <w:rFonts w:ascii="宋体" w:hAnsi="宋体"/>
          <w:szCs w:val="21"/>
        </w:rPr>
      </w:pPr>
      <w:r>
        <w:rPr>
          <w:rFonts w:hint="eastAsia" w:ascii="宋体" w:hAnsi="宋体"/>
          <w:szCs w:val="21"/>
        </w:rPr>
        <w:t>2．下述文件是构成合同不可分割的部分，应一并阅读和理解。</w:t>
      </w:r>
    </w:p>
    <w:p>
      <w:pPr>
        <w:spacing w:line="420" w:lineRule="exact"/>
        <w:ind w:firstLine="420" w:firstLineChars="200"/>
        <w:rPr>
          <w:rFonts w:ascii="宋体" w:hAnsi="宋体"/>
          <w:szCs w:val="21"/>
        </w:rPr>
      </w:pPr>
      <w:r>
        <w:rPr>
          <w:rFonts w:hint="eastAsia" w:ascii="宋体" w:hAnsi="宋体"/>
          <w:szCs w:val="21"/>
        </w:rPr>
        <w:t>(1)补充协议（如果有）；</w:t>
      </w:r>
    </w:p>
    <w:p>
      <w:pPr>
        <w:spacing w:line="420" w:lineRule="exact"/>
        <w:ind w:firstLine="420" w:firstLineChars="200"/>
        <w:rPr>
          <w:rFonts w:ascii="宋体" w:hAnsi="宋体"/>
          <w:szCs w:val="21"/>
        </w:rPr>
      </w:pPr>
      <w:r>
        <w:rPr>
          <w:rFonts w:hint="eastAsia" w:ascii="宋体" w:hAnsi="宋体"/>
          <w:szCs w:val="21"/>
        </w:rPr>
        <w:t>(2)本合同协议书；</w:t>
      </w:r>
    </w:p>
    <w:p>
      <w:pPr>
        <w:spacing w:line="420" w:lineRule="exact"/>
        <w:ind w:firstLine="420" w:firstLineChars="200"/>
        <w:rPr>
          <w:rFonts w:ascii="宋体" w:hAnsi="宋体"/>
          <w:szCs w:val="21"/>
        </w:rPr>
      </w:pPr>
      <w:r>
        <w:rPr>
          <w:rFonts w:hint="eastAsia" w:ascii="宋体" w:hAnsi="宋体"/>
          <w:szCs w:val="21"/>
        </w:rPr>
        <w:t>(3)合同条款；</w:t>
      </w:r>
    </w:p>
    <w:p>
      <w:pPr>
        <w:spacing w:line="420" w:lineRule="exact"/>
        <w:ind w:firstLine="420" w:firstLineChars="200"/>
        <w:rPr>
          <w:rFonts w:ascii="宋体" w:hAnsi="宋体"/>
          <w:szCs w:val="21"/>
        </w:rPr>
      </w:pPr>
      <w:r>
        <w:rPr>
          <w:rFonts w:hint="eastAsia" w:ascii="宋体" w:hAnsi="宋体"/>
          <w:szCs w:val="21"/>
        </w:rPr>
        <w:t>(4)供货范围或供货清单；</w:t>
      </w:r>
    </w:p>
    <w:p>
      <w:pPr>
        <w:spacing w:line="420" w:lineRule="exact"/>
        <w:ind w:firstLine="420" w:firstLineChars="200"/>
        <w:rPr>
          <w:rFonts w:ascii="宋体" w:hAnsi="宋体"/>
          <w:szCs w:val="21"/>
        </w:rPr>
      </w:pPr>
      <w:r>
        <w:rPr>
          <w:rFonts w:hint="eastAsia" w:ascii="宋体" w:hAnsi="宋体"/>
          <w:szCs w:val="21"/>
        </w:rPr>
        <w:t>(5)询比采购文件；</w:t>
      </w:r>
    </w:p>
    <w:p>
      <w:pPr>
        <w:spacing w:line="420" w:lineRule="exact"/>
        <w:ind w:firstLine="420" w:firstLineChars="200"/>
        <w:rPr>
          <w:rFonts w:ascii="宋体" w:hAnsi="宋体"/>
          <w:szCs w:val="21"/>
        </w:rPr>
      </w:pPr>
      <w:r>
        <w:rPr>
          <w:rFonts w:hint="eastAsia" w:ascii="宋体" w:hAnsi="宋体"/>
          <w:szCs w:val="21"/>
        </w:rPr>
        <w:t>(6)应答文件、澄清文件及其它补充资料(如果有)；</w:t>
      </w:r>
    </w:p>
    <w:p>
      <w:pPr>
        <w:spacing w:line="420" w:lineRule="exact"/>
        <w:ind w:firstLine="420" w:firstLineChars="200"/>
        <w:rPr>
          <w:rFonts w:ascii="宋体" w:hAnsi="宋体"/>
          <w:szCs w:val="21"/>
        </w:rPr>
      </w:pPr>
      <w:r>
        <w:rPr>
          <w:rFonts w:hint="eastAsia" w:ascii="宋体" w:hAnsi="宋体"/>
          <w:szCs w:val="21"/>
        </w:rPr>
        <w:t>(7)合同其它附件（如果有）。</w:t>
      </w:r>
    </w:p>
    <w:p>
      <w:pPr>
        <w:spacing w:line="420" w:lineRule="exact"/>
        <w:ind w:firstLine="420" w:firstLineChars="200"/>
        <w:rPr>
          <w:rFonts w:ascii="宋体" w:hAnsi="宋体"/>
          <w:szCs w:val="21"/>
        </w:rPr>
      </w:pPr>
      <w:r>
        <w:rPr>
          <w:rFonts w:hint="eastAsia" w:ascii="宋体" w:hAnsi="宋体"/>
          <w:szCs w:val="21"/>
        </w:rPr>
        <w:t>3．上述文件应认为是互为补充和解释的，若有不明确及不一致之处，以上面所列顺序在前者为准。</w:t>
      </w:r>
    </w:p>
    <w:p>
      <w:pPr>
        <w:spacing w:line="420" w:lineRule="exact"/>
        <w:ind w:firstLine="420" w:firstLineChars="200"/>
        <w:rPr>
          <w:rFonts w:ascii="宋体" w:hAnsi="宋体"/>
          <w:szCs w:val="21"/>
        </w:rPr>
      </w:pPr>
      <w:r>
        <w:rPr>
          <w:rFonts w:hint="eastAsia" w:ascii="宋体" w:hAnsi="宋体"/>
          <w:szCs w:val="21"/>
        </w:rPr>
        <w:t>4．本合同为固定单价合同，暂估含税总价(税率</w:t>
      </w:r>
      <w:r>
        <w:rPr>
          <w:rFonts w:ascii="宋体" w:hAnsi="宋体"/>
          <w:szCs w:val="21"/>
        </w:rPr>
        <w:t xml:space="preserve">  </w:t>
      </w:r>
      <w:r>
        <w:rPr>
          <w:rFonts w:hint="eastAsia" w:ascii="宋体" w:hAnsi="宋体"/>
          <w:szCs w:val="21"/>
        </w:rPr>
        <w:t>%)为人民币(大写)</w:t>
      </w:r>
      <w:r>
        <w:rPr>
          <w:rFonts w:hint="eastAsia" w:ascii="宋体" w:hAnsi="宋体"/>
          <w:szCs w:val="21"/>
          <w:u w:val="single"/>
        </w:rPr>
        <w:t xml:space="preserve"> </w:t>
      </w:r>
      <w:r>
        <w:rPr>
          <w:rFonts w:hint="eastAsia" w:ascii="宋体" w:hAnsi="宋体" w:cs="宋体"/>
          <w:color w:val="000000"/>
          <w:kern w:val="0"/>
          <w:szCs w:val="21"/>
          <w:u w:val="single"/>
        </w:rPr>
        <w:t xml:space="preserve">     </w:t>
      </w:r>
      <w:r>
        <w:rPr>
          <w:rFonts w:hint="eastAsia" w:ascii="宋体" w:hAnsi="宋体"/>
          <w:szCs w:val="21"/>
          <w:u w:val="single"/>
        </w:rPr>
        <w:t>整（RMB：</w:t>
      </w:r>
      <w:r>
        <w:rPr>
          <w:rFonts w:ascii="宋体" w:hAnsi="宋体"/>
          <w:szCs w:val="21"/>
          <w:u w:val="single"/>
        </w:rPr>
        <w:t xml:space="preserve">   </w:t>
      </w:r>
      <w:r>
        <w:rPr>
          <w:rFonts w:hint="eastAsia" w:ascii="宋体" w:hAnsi="宋体"/>
          <w:szCs w:val="21"/>
          <w:u w:val="single"/>
        </w:rPr>
        <w:t>元)</w:t>
      </w:r>
      <w:r>
        <w:rPr>
          <w:rFonts w:ascii="宋体" w:hAnsi="宋体"/>
          <w:szCs w:val="21"/>
          <w:u w:val="single"/>
        </w:rPr>
        <w:t>,</w:t>
      </w:r>
      <w:r>
        <w:rPr>
          <w:rFonts w:ascii="宋体" w:hAnsi="宋体"/>
          <w:szCs w:val="21"/>
        </w:rPr>
        <w:t xml:space="preserve"> 不含税总价</w:t>
      </w:r>
      <w:r>
        <w:rPr>
          <w:rFonts w:hint="eastAsia" w:ascii="宋体" w:hAnsi="宋体"/>
          <w:szCs w:val="21"/>
        </w:rPr>
        <w:t>为人民币(大写)</w:t>
      </w:r>
      <w:r>
        <w:rPr>
          <w:rFonts w:hint="eastAsia"/>
          <w:szCs w:val="21"/>
          <w:u w:val="single"/>
        </w:rPr>
        <w:t xml:space="preserve"> </w:t>
      </w:r>
      <w:r>
        <w:rPr>
          <w:rFonts w:hint="eastAsia" w:ascii="宋体" w:hAnsi="宋体" w:cs="宋体"/>
          <w:color w:val="000000"/>
          <w:kern w:val="0"/>
          <w:szCs w:val="21"/>
          <w:u w:val="single"/>
        </w:rPr>
        <w:t xml:space="preserve">    </w:t>
      </w:r>
      <w:r>
        <w:rPr>
          <w:rFonts w:hint="eastAsia"/>
          <w:szCs w:val="21"/>
          <w:u w:val="single"/>
        </w:rPr>
        <w:t>整</w:t>
      </w:r>
      <w:r>
        <w:rPr>
          <w:rFonts w:hint="eastAsia" w:ascii="宋体" w:hAnsi="宋体"/>
          <w:szCs w:val="21"/>
        </w:rPr>
        <w:t>（RMB：</w:t>
      </w:r>
      <w:r>
        <w:rPr>
          <w:rFonts w:ascii="宋体" w:hAnsi="宋体" w:cs="宋体"/>
          <w:color w:val="000000"/>
          <w:kern w:val="0"/>
          <w:szCs w:val="21"/>
          <w:u w:val="single"/>
        </w:rPr>
        <w:t xml:space="preserve">     </w:t>
      </w:r>
      <w:r>
        <w:rPr>
          <w:rFonts w:hint="eastAsia" w:ascii="宋体" w:hAnsi="宋体"/>
          <w:szCs w:val="21"/>
          <w:u w:val="single"/>
        </w:rPr>
        <w:t>元</w:t>
      </w:r>
      <w:r>
        <w:rPr>
          <w:rFonts w:hint="eastAsia" w:ascii="宋体" w:hAnsi="宋体"/>
          <w:szCs w:val="21"/>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rPr>
          <w:rFonts w:ascii="宋体" w:hAnsi="宋体"/>
          <w:szCs w:val="21"/>
        </w:rPr>
      </w:pPr>
      <w:r>
        <w:rPr>
          <w:rFonts w:hint="eastAsia" w:ascii="宋体" w:hAnsi="宋体"/>
          <w:szCs w:val="21"/>
        </w:rPr>
        <w:t>5．由于买方将按本协议第4条所述向卖方支付合同价款，卖方在此立约，保证全部按照本合同规定向买方提供货物和服务，并修补缺陷。</w:t>
      </w:r>
    </w:p>
    <w:p>
      <w:pPr>
        <w:spacing w:line="420" w:lineRule="exact"/>
        <w:ind w:firstLine="420" w:firstLineChars="200"/>
        <w:rPr>
          <w:rFonts w:ascii="宋体" w:hAnsi="宋体"/>
          <w:szCs w:val="21"/>
        </w:rPr>
      </w:pPr>
      <w:r>
        <w:rPr>
          <w:rFonts w:hint="eastAsia" w:ascii="宋体" w:hAnsi="宋体"/>
          <w:szCs w:val="21"/>
        </w:rPr>
        <w:t>6．作为对卖方所提供货物和服务以及修补缺陷的报酬，买方在此立约，保证按合同规定的方式和时间向卖方支付合同价款。</w:t>
      </w:r>
    </w:p>
    <w:p>
      <w:pPr>
        <w:spacing w:line="420" w:lineRule="exact"/>
        <w:ind w:firstLine="420" w:firstLineChars="200"/>
        <w:rPr>
          <w:rFonts w:ascii="宋体" w:hAnsi="宋体"/>
          <w:szCs w:val="21"/>
        </w:rPr>
      </w:pPr>
      <w:r>
        <w:rPr>
          <w:rFonts w:hint="eastAsia" w:ascii="宋体" w:hAnsi="宋体"/>
          <w:szCs w:val="21"/>
        </w:rPr>
        <w:t>7．本合同协议书正本一式二份，买方和卖方各执一份，副本一式八份，买方执七份，卖方执一份。正本和副本如有互相矛盾之处，以正本为准。</w:t>
      </w:r>
    </w:p>
    <w:p>
      <w:pPr>
        <w:spacing w:line="420" w:lineRule="exact"/>
        <w:ind w:firstLine="420" w:firstLineChars="200"/>
        <w:rPr>
          <w:rFonts w:ascii="宋体" w:hAnsi="宋体"/>
          <w:szCs w:val="21"/>
        </w:rPr>
      </w:pPr>
      <w:r>
        <w:rPr>
          <w:rFonts w:hint="eastAsia" w:ascii="宋体" w:hAnsi="宋体"/>
          <w:szCs w:val="21"/>
        </w:rPr>
        <w:t>8．本协议书由双方法定代表人或其授权的代理人签署并加盖公章后正式生效。</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szCs w:val="21"/>
              </w:rPr>
            </w:pPr>
            <w:r>
              <w:rPr>
                <w:rFonts w:hint="eastAsia" w:ascii="宋体" w:hAnsi="宋体"/>
                <w:szCs w:val="21"/>
              </w:rPr>
              <w:t>买方:浙江幸福轨道交通运营管理有限公司</w:t>
            </w:r>
          </w:p>
        </w:tc>
        <w:tc>
          <w:tcPr>
            <w:tcW w:w="4290" w:type="dxa"/>
          </w:tcPr>
          <w:p>
            <w:pPr>
              <w:spacing w:line="420" w:lineRule="exact"/>
              <w:rPr>
                <w:rFonts w:ascii="宋体" w:hAnsi="宋体"/>
                <w:szCs w:val="21"/>
              </w:rPr>
            </w:pPr>
            <w:r>
              <w:rPr>
                <w:rFonts w:hint="eastAsia" w:ascii="宋体" w:hAnsi="宋体"/>
                <w:szCs w:val="21"/>
              </w:rPr>
              <w:t>卖方:</w:t>
            </w:r>
            <w:r>
              <w:rPr>
                <w:rFonts w:ascii="宋体" w:hAnsi="宋体"/>
                <w:bCs/>
                <w:color w:val="000000"/>
                <w:szCs w:val="21"/>
              </w:rPr>
              <w:t xml:space="preserve">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szCs w:val="21"/>
              </w:rPr>
            </w:pPr>
            <w:r>
              <w:rPr>
                <w:rFonts w:hint="eastAsia" w:ascii="宋体" w:hAnsi="宋体"/>
                <w:szCs w:val="21"/>
              </w:rPr>
              <w:t>地址:温州市鹿城区温州大道2</w:t>
            </w:r>
            <w:r>
              <w:rPr>
                <w:rFonts w:ascii="宋体" w:hAnsi="宋体"/>
                <w:szCs w:val="21"/>
              </w:rPr>
              <w:t>305</w:t>
            </w:r>
            <w:r>
              <w:rPr>
                <w:rFonts w:hint="eastAsia" w:ascii="宋体" w:hAnsi="宋体"/>
                <w:szCs w:val="21"/>
              </w:rPr>
              <w:t>号</w:t>
            </w:r>
            <w:r>
              <w:rPr>
                <w:rFonts w:ascii="宋体" w:hAnsi="宋体"/>
                <w:szCs w:val="21"/>
              </w:rPr>
              <w:t>温州市轨道控制中心</w:t>
            </w:r>
          </w:p>
        </w:tc>
        <w:tc>
          <w:tcPr>
            <w:tcW w:w="4290" w:type="dxa"/>
          </w:tcPr>
          <w:p>
            <w:pPr>
              <w:spacing w:line="420" w:lineRule="exact"/>
              <w:rPr>
                <w:rFonts w:ascii="宋体" w:hAnsi="宋体"/>
                <w:szCs w:val="21"/>
              </w:rPr>
            </w:pPr>
            <w:r>
              <w:rPr>
                <w:rFonts w:hint="eastAsia" w:ascii="宋体" w:hAnsi="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10" w:type="dxa"/>
          </w:tcPr>
          <w:p>
            <w:pPr>
              <w:spacing w:line="420" w:lineRule="exact"/>
              <w:rPr>
                <w:rFonts w:ascii="宋体" w:hAnsi="宋体"/>
                <w:szCs w:val="21"/>
              </w:rPr>
            </w:pPr>
            <w:r>
              <w:rPr>
                <w:rFonts w:hint="eastAsia" w:ascii="宋体" w:hAnsi="宋体"/>
                <w:szCs w:val="21"/>
              </w:rPr>
              <w:t>电话:0577-</w:t>
            </w:r>
            <w:r>
              <w:rPr>
                <w:rFonts w:ascii="宋体" w:hAnsi="宋体"/>
                <w:szCs w:val="21"/>
              </w:rPr>
              <w:t>89727083</w:t>
            </w:r>
          </w:p>
        </w:tc>
        <w:tc>
          <w:tcPr>
            <w:tcW w:w="4290" w:type="dxa"/>
          </w:tcPr>
          <w:p>
            <w:pPr>
              <w:spacing w:line="420" w:lineRule="exact"/>
              <w:rPr>
                <w:rFonts w:ascii="宋体" w:hAnsi="宋体"/>
                <w:szCs w:val="21"/>
              </w:rPr>
            </w:pPr>
            <w:r>
              <w:rPr>
                <w:rFonts w:hint="eastAsia" w:ascii="宋体" w:hAnsi="宋体"/>
                <w:szCs w:val="21"/>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710" w:type="dxa"/>
          </w:tcPr>
          <w:p>
            <w:pPr>
              <w:spacing w:line="420" w:lineRule="exact"/>
              <w:rPr>
                <w:rFonts w:ascii="宋体" w:hAnsi="宋体"/>
                <w:szCs w:val="21"/>
              </w:rPr>
            </w:pPr>
            <w:r>
              <w:rPr>
                <w:rFonts w:hint="eastAsia" w:ascii="宋体" w:hAnsi="宋体"/>
                <w:szCs w:val="21"/>
              </w:rPr>
              <w:t>传真:</w:t>
            </w:r>
          </w:p>
        </w:tc>
        <w:tc>
          <w:tcPr>
            <w:tcW w:w="4290" w:type="dxa"/>
          </w:tcPr>
          <w:p>
            <w:pPr>
              <w:spacing w:line="420" w:lineRule="exact"/>
              <w:rPr>
                <w:rFonts w:ascii="宋体" w:hAnsi="宋体"/>
                <w:szCs w:val="21"/>
              </w:rPr>
            </w:pPr>
            <w:r>
              <w:rPr>
                <w:rFonts w:hint="eastAsia" w:ascii="宋体" w:hAnsi="宋体"/>
                <w:szCs w:val="21"/>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10" w:type="dxa"/>
          </w:tcPr>
          <w:p>
            <w:pPr>
              <w:spacing w:line="420" w:lineRule="exact"/>
              <w:rPr>
                <w:rFonts w:ascii="宋体" w:hAnsi="宋体"/>
                <w:szCs w:val="21"/>
              </w:rPr>
            </w:pPr>
            <w:r>
              <w:rPr>
                <w:rFonts w:hint="eastAsia" w:ascii="宋体" w:hAnsi="宋体"/>
                <w:szCs w:val="21"/>
              </w:rPr>
              <w:t>负责人（或授权代表）：</w:t>
            </w:r>
          </w:p>
        </w:tc>
        <w:tc>
          <w:tcPr>
            <w:tcW w:w="4290" w:type="dxa"/>
          </w:tcPr>
          <w:p>
            <w:pPr>
              <w:spacing w:line="420" w:lineRule="exact"/>
              <w:rPr>
                <w:rFonts w:ascii="宋体" w:hAnsi="宋体"/>
                <w:szCs w:val="21"/>
              </w:rPr>
            </w:pPr>
            <w:r>
              <w:rPr>
                <w:rFonts w:hint="eastAsia" w:ascii="宋体" w:hAnsi="宋体"/>
                <w:szCs w:val="21"/>
              </w:rPr>
              <w:t>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710" w:type="dxa"/>
          </w:tcPr>
          <w:p>
            <w:pPr>
              <w:spacing w:line="420" w:lineRule="exact"/>
              <w:rPr>
                <w:rFonts w:ascii="宋体" w:hAnsi="宋体"/>
                <w:szCs w:val="21"/>
              </w:rPr>
            </w:pPr>
            <w:r>
              <w:rPr>
                <w:rFonts w:hint="eastAsia" w:ascii="宋体" w:hAnsi="宋体"/>
                <w:szCs w:val="21"/>
              </w:rPr>
              <w:t>日期：</w:t>
            </w:r>
          </w:p>
        </w:tc>
        <w:tc>
          <w:tcPr>
            <w:tcW w:w="4290" w:type="dxa"/>
          </w:tcPr>
          <w:p>
            <w:pPr>
              <w:spacing w:line="420" w:lineRule="exact"/>
              <w:rPr>
                <w:rFonts w:ascii="宋体" w:hAnsi="宋体"/>
                <w:szCs w:val="21"/>
              </w:rPr>
            </w:pPr>
            <w:r>
              <w:rPr>
                <w:rFonts w:hint="eastAsia" w:ascii="宋体" w:hAnsi="宋体"/>
                <w:szCs w:val="21"/>
              </w:rPr>
              <w:t>日期：</w:t>
            </w:r>
          </w:p>
        </w:tc>
      </w:tr>
    </w:tbl>
    <w:p>
      <w:pPr>
        <w:spacing w:line="360" w:lineRule="auto"/>
        <w:jc w:val="center"/>
        <w:rPr>
          <w:rFonts w:ascii="黑体" w:hAnsi="黑体" w:eastAsia="黑体"/>
          <w:b/>
          <w:color w:val="000000"/>
          <w:kern w:val="0"/>
          <w:sz w:val="44"/>
          <w:szCs w:val="44"/>
        </w:rPr>
      </w:pPr>
      <w:r>
        <w:rPr>
          <w:rFonts w:ascii="宋体" w:hAnsi="宋体" w:cs="宋体"/>
          <w:sz w:val="44"/>
          <w:szCs w:val="44"/>
        </w:rPr>
        <w:br w:type="page"/>
      </w:r>
      <w:r>
        <w:rPr>
          <w:rFonts w:hint="eastAsia" w:ascii="黑体" w:hAnsi="黑体" w:eastAsia="黑体"/>
          <w:b/>
          <w:color w:val="000000"/>
          <w:kern w:val="0"/>
          <w:sz w:val="44"/>
          <w:szCs w:val="44"/>
        </w:rPr>
        <w:t>二、合同条款</w:t>
      </w:r>
    </w:p>
    <w:p>
      <w:pPr>
        <w:spacing w:line="420" w:lineRule="exact"/>
        <w:rPr>
          <w:b/>
        </w:rPr>
      </w:pPr>
      <w:r>
        <w:rPr>
          <w:rFonts w:hint="eastAsia"/>
          <w:b/>
        </w:rPr>
        <w:t>1.定义</w:t>
      </w:r>
    </w:p>
    <w:p>
      <w:pPr>
        <w:spacing w:line="420" w:lineRule="exact"/>
        <w:ind w:firstLine="420" w:firstLineChars="200"/>
      </w:pPr>
      <w:r>
        <w:rPr>
          <w:rFonts w:hint="eastAsia"/>
        </w:rPr>
        <w:t>1.1买方：指购买货物和服务的</w:t>
      </w:r>
      <w:r>
        <w:rPr>
          <w:rFonts w:hint="eastAsia" w:ascii="宋体" w:hAnsi="宋体"/>
        </w:rPr>
        <w:t>浙江幸福轨道交通运营管理有限公司</w:t>
      </w:r>
      <w:r>
        <w:rPr>
          <w:rFonts w:hint="eastAsia"/>
        </w:rPr>
        <w:t>；</w:t>
      </w:r>
    </w:p>
    <w:p>
      <w:pPr>
        <w:spacing w:line="420" w:lineRule="exact"/>
        <w:ind w:firstLine="420" w:firstLineChars="200"/>
      </w:pPr>
      <w:r>
        <w:rPr>
          <w:rFonts w:hint="eastAsia"/>
        </w:rPr>
        <w:t>1.2卖方：指提供货物和服务的</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420" w:lineRule="exact"/>
        <w:ind w:firstLine="420" w:firstLineChars="200"/>
      </w:pPr>
      <w:r>
        <w:rPr>
          <w:rFonts w:hint="eastAsia"/>
        </w:rPr>
        <w:t>1.3合同价格：指根据合同约定卖方在正确履行合同义务后，买方应支付给卖方的价款；</w:t>
      </w:r>
    </w:p>
    <w:p>
      <w:pPr>
        <w:spacing w:line="420" w:lineRule="exact"/>
        <w:ind w:firstLine="420" w:firstLineChars="200"/>
      </w:pPr>
      <w:r>
        <w:rPr>
          <w:rFonts w:hint="eastAsia"/>
        </w:rPr>
        <w:t>1.4货物：指卖方根据本合同约定需向买方提供的设备和材料，除非合同另有约定；</w:t>
      </w:r>
    </w:p>
    <w:p>
      <w:pPr>
        <w:spacing w:line="420" w:lineRule="exact"/>
        <w:ind w:firstLine="420" w:firstLineChars="200"/>
      </w:pPr>
      <w:r>
        <w:rPr>
          <w:rFonts w:hint="eastAsia"/>
        </w:rPr>
        <w:t>1.5服务：系指根据本合同约定卖方所提供的与供货有关的辅助服务，如运输、保险以及其它的伴随服务，例如技术援助；</w:t>
      </w:r>
    </w:p>
    <w:p>
      <w:pPr>
        <w:spacing w:line="420" w:lineRule="exact"/>
        <w:ind w:firstLine="420" w:firstLineChars="200"/>
      </w:pPr>
      <w:r>
        <w:rPr>
          <w:rFonts w:hint="eastAsia"/>
        </w:rPr>
        <w:t>1.6语言：合同的书写、解释和说明均用中文；</w:t>
      </w:r>
    </w:p>
    <w:p>
      <w:pPr>
        <w:spacing w:line="420" w:lineRule="exact"/>
        <w:ind w:firstLine="420" w:firstLineChars="200"/>
      </w:pPr>
      <w:r>
        <w:rPr>
          <w:rFonts w:hint="eastAsia"/>
        </w:rPr>
        <w:t>1.7交货地点：</w:t>
      </w:r>
      <w:r>
        <w:rPr>
          <w:rFonts w:hint="eastAsia" w:ascii="宋体" w:hAnsi="宋体"/>
          <w:u w:val="single"/>
        </w:rPr>
        <w:t>浙江幸福轨道交通运营管理有限公司指定</w:t>
      </w:r>
      <w:r>
        <w:rPr>
          <w:rFonts w:ascii="宋体" w:hAnsi="宋体"/>
          <w:u w:val="single"/>
        </w:rPr>
        <w:t>的地点</w:t>
      </w:r>
      <w:r>
        <w:rPr>
          <w:rFonts w:hint="eastAsia" w:ascii="宋体" w:hAnsi="宋体"/>
          <w:u w:val="single"/>
        </w:rPr>
        <w:t>。</w:t>
      </w:r>
    </w:p>
    <w:p>
      <w:pPr>
        <w:spacing w:line="420" w:lineRule="exact"/>
        <w:ind w:firstLine="420" w:firstLineChars="200"/>
      </w:pPr>
      <w:r>
        <w:rPr>
          <w:rFonts w:hint="eastAsia"/>
        </w:rPr>
        <w:t>1.8天：指日历天数；</w:t>
      </w:r>
    </w:p>
    <w:p>
      <w:pPr>
        <w:spacing w:line="420" w:lineRule="exact"/>
        <w:ind w:firstLine="420" w:firstLineChars="200"/>
      </w:pPr>
      <w:r>
        <w:rPr>
          <w:rFonts w:hint="eastAsia"/>
        </w:rPr>
        <w:t>1.9合同签订地点：温州市。</w:t>
      </w:r>
    </w:p>
    <w:p>
      <w:pPr>
        <w:spacing w:line="420" w:lineRule="exact"/>
        <w:rPr>
          <w:b/>
        </w:rPr>
      </w:pPr>
      <w:r>
        <w:rPr>
          <w:rFonts w:hint="eastAsia"/>
          <w:b/>
        </w:rPr>
        <w:t>2.合同标的</w:t>
      </w:r>
    </w:p>
    <w:p>
      <w:pPr>
        <w:spacing w:line="420" w:lineRule="exact"/>
        <w:ind w:firstLine="420" w:firstLineChars="200"/>
      </w:pPr>
      <w:r>
        <w:rPr>
          <w:rFonts w:hint="eastAsia"/>
        </w:rPr>
        <w:t>合同标的包括但不限于下列内容：</w:t>
      </w:r>
    </w:p>
    <w:p>
      <w:pPr>
        <w:spacing w:line="420" w:lineRule="exact"/>
        <w:ind w:firstLine="420" w:firstLineChars="200"/>
      </w:pPr>
      <w:r>
        <w:rPr>
          <w:rFonts w:hint="eastAsia"/>
        </w:rPr>
        <w:t>2.1详见供货清单或供货范围，合同内货物以及其配件必须是全新的、完整的、包装完好的、满足各项技术参数和各项验收（包括最终验收）标准的合格产品；</w:t>
      </w:r>
    </w:p>
    <w:p>
      <w:pPr>
        <w:spacing w:line="420" w:lineRule="exact"/>
        <w:ind w:firstLine="420" w:firstLineChars="200"/>
      </w:pPr>
      <w:r>
        <w:rPr>
          <w:rFonts w:hint="eastAsia"/>
        </w:rPr>
        <w:t>2.2上述产品的生产、包装、运输、装卸、保险、技术服务（包括技术资料和图纸的提供）、技术指导、人员培训、售后服务、质保期服务等；</w:t>
      </w:r>
    </w:p>
    <w:p>
      <w:pPr>
        <w:spacing w:line="420" w:lineRule="exact"/>
        <w:ind w:firstLine="420" w:firstLineChars="200"/>
      </w:pPr>
      <w:r>
        <w:rPr>
          <w:rFonts w:hint="eastAsia"/>
        </w:rPr>
        <w:t>2.3“供货清单”中所述全部约定和要求。</w:t>
      </w:r>
    </w:p>
    <w:p>
      <w:pPr>
        <w:spacing w:line="420" w:lineRule="exact"/>
        <w:rPr>
          <w:b/>
        </w:rPr>
      </w:pPr>
      <w:r>
        <w:rPr>
          <w:rFonts w:hint="eastAsia"/>
          <w:b/>
        </w:rPr>
        <w:t>3.技术规格</w:t>
      </w:r>
    </w:p>
    <w:p>
      <w:pPr>
        <w:spacing w:line="420" w:lineRule="exact"/>
        <w:ind w:firstLine="420" w:firstLineChars="200"/>
      </w:pPr>
      <w:r>
        <w:rPr>
          <w:rFonts w:hint="eastAsia"/>
        </w:rPr>
        <w:t>卖方交付的货物的技术规格和要求（产地、制造商）应符合“供货清单”的要求，且与买方要求的规格型号（买方提供）保持一致。</w:t>
      </w:r>
    </w:p>
    <w:p>
      <w:pPr>
        <w:spacing w:line="420" w:lineRule="exact"/>
        <w:rPr>
          <w:b/>
        </w:rPr>
      </w:pPr>
      <w:r>
        <w:rPr>
          <w:rFonts w:hint="eastAsia"/>
          <w:b/>
        </w:rPr>
        <w:t>4.合同价格</w:t>
      </w:r>
    </w:p>
    <w:p>
      <w:pPr>
        <w:spacing w:line="420" w:lineRule="exact"/>
        <w:ind w:firstLine="420" w:firstLineChars="200"/>
      </w:pPr>
      <w:r>
        <w:rPr>
          <w:rFonts w:hint="eastAsia"/>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pPr>
        <w:spacing w:line="420" w:lineRule="exact"/>
        <w:ind w:firstLine="420" w:firstLineChars="200"/>
        <w:rPr>
          <w:rFonts w:ascii="宋体" w:hAnsi="宋体"/>
        </w:rPr>
      </w:pPr>
      <w:r>
        <w:rPr>
          <w:rFonts w:hint="eastAsia"/>
        </w:rPr>
        <w:t>4.2</w:t>
      </w:r>
      <w:r>
        <w:rPr>
          <w:rFonts w:hint="eastAsia" w:ascii="宋体" w:hAnsi="宋体"/>
        </w:rPr>
        <w:t>本合同为固定单价合同，暂估含税总价(税率</w:t>
      </w:r>
      <w:r>
        <w:rPr>
          <w:rFonts w:ascii="宋体" w:hAnsi="宋体"/>
        </w:rPr>
        <w:t xml:space="preserve">  </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rPr>
        <w:t>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pPr>
      <w:r>
        <w:rPr>
          <w:rFonts w:hint="eastAsia"/>
        </w:rPr>
        <w:t>4.3在合同执行期间除合同约定的合同变更外，合同单价不得以任何理由上调或上涨。</w:t>
      </w:r>
    </w:p>
    <w:p>
      <w:pPr>
        <w:spacing w:line="420" w:lineRule="exact"/>
        <w:ind w:firstLine="420" w:firstLineChars="200"/>
      </w:pPr>
      <w:r>
        <w:rPr>
          <w:rFonts w:hint="eastAsia"/>
        </w:rPr>
        <w:t>4.4“供货清单”中约定的单价，除双方同意根据合同约定对合同进行变更或修改外，不论实际数量大于或小于合同预计数量，在合同有效期内固定不变。</w:t>
      </w:r>
    </w:p>
    <w:p>
      <w:pPr>
        <w:spacing w:line="420" w:lineRule="exact"/>
        <w:ind w:firstLine="420" w:firstLineChars="200"/>
      </w:pPr>
      <w:r>
        <w:rPr>
          <w:rFonts w:hint="eastAsia"/>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pPr>
        <w:spacing w:line="420" w:lineRule="exact"/>
        <w:ind w:firstLine="420" w:firstLineChars="200"/>
      </w:pPr>
      <w:r>
        <w:rPr>
          <w:rFonts w:hint="eastAsia"/>
        </w:rPr>
        <w:t>4.6货物单价详见合同附件“供货清单”。</w:t>
      </w:r>
    </w:p>
    <w:p>
      <w:pPr>
        <w:spacing w:line="420" w:lineRule="exact"/>
        <w:rPr>
          <w:b/>
        </w:rPr>
      </w:pPr>
      <w:r>
        <w:rPr>
          <w:rFonts w:hint="eastAsia"/>
          <w:b/>
        </w:rPr>
        <w:t>5.付款</w:t>
      </w:r>
    </w:p>
    <w:p>
      <w:pPr>
        <w:spacing w:line="420" w:lineRule="exact"/>
        <w:ind w:firstLine="420" w:firstLineChars="200"/>
      </w:pPr>
      <w:r>
        <w:rPr>
          <w:rFonts w:hint="eastAsia"/>
        </w:rPr>
        <w:t>5.1本合同以人民币结算。</w:t>
      </w:r>
    </w:p>
    <w:p>
      <w:pPr>
        <w:spacing w:line="420" w:lineRule="exact"/>
        <w:ind w:firstLine="420" w:firstLineChars="200"/>
      </w:pPr>
      <w:r>
        <w:rPr>
          <w:rFonts w:hint="eastAsia"/>
        </w:rPr>
        <w:t>5.2到货验收合格付款</w:t>
      </w:r>
    </w:p>
    <w:p>
      <w:pPr>
        <w:spacing w:line="420" w:lineRule="exact"/>
        <w:ind w:firstLine="420" w:firstLineChars="200"/>
      </w:pPr>
      <w:r>
        <w:rPr>
          <w:rFonts w:hint="eastAsia"/>
        </w:rPr>
        <w:t>按合同单价</w:t>
      </w:r>
      <w:r>
        <w:rPr>
          <w:rFonts w:hint="eastAsia" w:ascii="宋体" w:hAnsi="宋体"/>
        </w:rPr>
        <w:t>（含增值税）</w:t>
      </w:r>
      <w:r>
        <w:rPr>
          <w:rFonts w:hint="eastAsia"/>
        </w:rPr>
        <w:t>和卖方实际送货数量，物资经验收合格后，且买方审核下列单据无误后30天内，经买方批准，买方按该批实际到货货物总价的95%支付给卖方，质保期满后支付余款。</w:t>
      </w:r>
    </w:p>
    <w:p>
      <w:pPr>
        <w:spacing w:line="420" w:lineRule="exact"/>
        <w:ind w:firstLine="420" w:firstLineChars="200"/>
        <w:rPr>
          <w:rFonts w:hint="eastAsia" w:eastAsia="宋体"/>
          <w:lang w:eastAsia="zh-CN"/>
        </w:rPr>
      </w:pPr>
      <w:r>
        <w:rPr>
          <w:rFonts w:hint="eastAsia"/>
        </w:rPr>
        <w:t>5.2.1卖方开具的金额为本次应付金额百分之一百（100%）的增值税专用发票，标明货物的名称、型号、规格、数量、单价、总价</w:t>
      </w:r>
      <w:r>
        <w:rPr>
          <w:rFonts w:hint="eastAsia"/>
          <w:lang w:eastAsia="zh-CN"/>
        </w:rPr>
        <w:t>。</w:t>
      </w:r>
    </w:p>
    <w:p>
      <w:pPr>
        <w:spacing w:line="420" w:lineRule="exact"/>
        <w:ind w:firstLine="420" w:firstLineChars="200"/>
      </w:pPr>
      <w:r>
        <w:rPr>
          <w:rFonts w:hint="eastAsia"/>
        </w:rPr>
        <w:t>5.2.2经买方签署的开箱检验单和验收入库单。</w:t>
      </w:r>
    </w:p>
    <w:p>
      <w:pPr>
        <w:spacing w:line="420" w:lineRule="exact"/>
        <w:ind w:firstLine="420" w:firstLineChars="200"/>
      </w:pPr>
      <w:r>
        <w:rPr>
          <w:rFonts w:hint="eastAsia"/>
        </w:rPr>
        <w:t>5.</w:t>
      </w:r>
      <w:r>
        <w:t>3</w:t>
      </w:r>
      <w:r>
        <w:rPr>
          <w:rFonts w:hint="eastAsia"/>
        </w:rPr>
        <w:t>开票信息</w:t>
      </w:r>
    </w:p>
    <w:tbl>
      <w:tblPr>
        <w:tblStyle w:val="17"/>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公司名称</w:t>
            </w:r>
          </w:p>
        </w:tc>
        <w:tc>
          <w:tcPr>
            <w:tcW w:w="3544" w:type="dxa"/>
          </w:tcPr>
          <w:p>
            <w:pPr>
              <w:spacing w:line="420" w:lineRule="exact"/>
              <w:rPr>
                <w:kern w:val="0"/>
                <w:sz w:val="20"/>
              </w:rPr>
            </w:pPr>
            <w:r>
              <w:rPr>
                <w:rFonts w:hint="eastAsia"/>
                <w:kern w:val="0"/>
                <w:sz w:val="20"/>
              </w:rPr>
              <w:t>浙江幸福轨道交通运营管理有限公司</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纳税人识别号</w:t>
            </w:r>
          </w:p>
        </w:tc>
        <w:tc>
          <w:tcPr>
            <w:tcW w:w="3544" w:type="dxa"/>
          </w:tcPr>
          <w:p>
            <w:pPr>
              <w:spacing w:line="420" w:lineRule="exact"/>
              <w:rPr>
                <w:kern w:val="0"/>
                <w:sz w:val="20"/>
              </w:rPr>
            </w:pPr>
            <w:r>
              <w:rPr>
                <w:kern w:val="0"/>
                <w:sz w:val="20"/>
              </w:rPr>
              <w:t>91330300MA2AWK0C71</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360" w:lineRule="exact"/>
              <w:rPr>
                <w:kern w:val="0"/>
                <w:sz w:val="20"/>
              </w:rPr>
            </w:pPr>
            <w:r>
              <w:rPr>
                <w:rFonts w:hint="eastAsia"/>
                <w:kern w:val="0"/>
                <w:sz w:val="20"/>
              </w:rPr>
              <w:t>公司地址</w:t>
            </w:r>
          </w:p>
        </w:tc>
        <w:tc>
          <w:tcPr>
            <w:tcW w:w="3544" w:type="dxa"/>
          </w:tcPr>
          <w:p>
            <w:pPr>
              <w:spacing w:line="360" w:lineRule="exact"/>
              <w:rPr>
                <w:kern w:val="0"/>
                <w:sz w:val="20"/>
              </w:rPr>
            </w:pPr>
            <w:r>
              <w:rPr>
                <w:rFonts w:hint="eastAsia"/>
                <w:kern w:val="0"/>
                <w:sz w:val="20"/>
              </w:rPr>
              <w:t>浙江省温州市鹿城区温州大道2305号温州轨道交通控制中心7楼702室</w:t>
            </w:r>
          </w:p>
        </w:tc>
        <w:tc>
          <w:tcPr>
            <w:tcW w:w="3544" w:type="dxa"/>
          </w:tcPr>
          <w:p>
            <w:pPr>
              <w:spacing w:line="36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开户行</w:t>
            </w:r>
          </w:p>
        </w:tc>
        <w:tc>
          <w:tcPr>
            <w:tcW w:w="3544" w:type="dxa"/>
          </w:tcPr>
          <w:p>
            <w:pPr>
              <w:spacing w:line="420" w:lineRule="exact"/>
              <w:rPr>
                <w:kern w:val="0"/>
                <w:sz w:val="20"/>
              </w:rPr>
            </w:pPr>
            <w:r>
              <w:rPr>
                <w:rFonts w:hint="eastAsia"/>
                <w:kern w:val="0"/>
                <w:sz w:val="20"/>
              </w:rPr>
              <w:t>中国工商银行股份有限公司温州鹿城支行</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账号</w:t>
            </w:r>
          </w:p>
        </w:tc>
        <w:tc>
          <w:tcPr>
            <w:tcW w:w="3544" w:type="dxa"/>
          </w:tcPr>
          <w:p>
            <w:pPr>
              <w:spacing w:line="420" w:lineRule="exact"/>
              <w:rPr>
                <w:kern w:val="0"/>
                <w:sz w:val="20"/>
              </w:rPr>
            </w:pPr>
            <w:r>
              <w:rPr>
                <w:kern w:val="0"/>
                <w:sz w:val="20"/>
              </w:rPr>
              <w:t>1203207009200187256</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420" w:lineRule="exact"/>
              <w:rPr>
                <w:kern w:val="0"/>
                <w:sz w:val="20"/>
              </w:rPr>
            </w:pPr>
            <w:r>
              <w:rPr>
                <w:rFonts w:hint="eastAsia"/>
                <w:kern w:val="0"/>
                <w:sz w:val="20"/>
              </w:rPr>
              <w:t>电话</w:t>
            </w:r>
          </w:p>
        </w:tc>
        <w:tc>
          <w:tcPr>
            <w:tcW w:w="3544" w:type="dxa"/>
          </w:tcPr>
          <w:p>
            <w:pPr>
              <w:spacing w:line="420" w:lineRule="exact"/>
              <w:rPr>
                <w:kern w:val="0"/>
                <w:sz w:val="20"/>
              </w:rPr>
            </w:pPr>
            <w:r>
              <w:rPr>
                <w:kern w:val="0"/>
                <w:sz w:val="20"/>
              </w:rPr>
              <w:t>0577-89727097</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spacing w:line="420" w:lineRule="exact"/>
              <w:rPr>
                <w:kern w:val="0"/>
                <w:sz w:val="20"/>
              </w:rPr>
            </w:pPr>
            <w:r>
              <w:rPr>
                <w:rFonts w:hint="eastAsia"/>
                <w:kern w:val="0"/>
                <w:sz w:val="20"/>
              </w:rPr>
              <w:t>邮编</w:t>
            </w:r>
          </w:p>
        </w:tc>
        <w:tc>
          <w:tcPr>
            <w:tcW w:w="3544" w:type="dxa"/>
          </w:tcPr>
          <w:p>
            <w:pPr>
              <w:spacing w:line="420" w:lineRule="exact"/>
              <w:rPr>
                <w:kern w:val="0"/>
                <w:sz w:val="20"/>
              </w:rPr>
            </w:pPr>
            <w:r>
              <w:rPr>
                <w:rFonts w:hint="eastAsia"/>
                <w:kern w:val="0"/>
                <w:sz w:val="20"/>
              </w:rPr>
              <w:t>325000</w:t>
            </w:r>
          </w:p>
        </w:tc>
        <w:tc>
          <w:tcPr>
            <w:tcW w:w="3544" w:type="dxa"/>
          </w:tcPr>
          <w:p>
            <w:pPr>
              <w:spacing w:line="420" w:lineRule="exact"/>
              <w:rPr>
                <w:kern w:val="0"/>
                <w:sz w:val="20"/>
              </w:rPr>
            </w:pPr>
          </w:p>
        </w:tc>
      </w:tr>
    </w:tbl>
    <w:p>
      <w:pPr>
        <w:spacing w:line="420" w:lineRule="exact"/>
        <w:rPr>
          <w:b/>
        </w:rPr>
      </w:pPr>
      <w:r>
        <w:rPr>
          <w:rFonts w:hint="eastAsia"/>
          <w:b/>
        </w:rPr>
        <w:t>6.税费</w:t>
      </w:r>
    </w:p>
    <w:p>
      <w:pPr>
        <w:spacing w:line="420" w:lineRule="exact"/>
        <w:ind w:firstLine="420" w:firstLineChars="200"/>
      </w:pPr>
      <w:r>
        <w:rPr>
          <w:rFonts w:hint="eastAsia"/>
        </w:rPr>
        <w:t>6.1政府根据现行的中国税法对买方征收的与执行本合同有关的一切税费，均由买方承担。</w:t>
      </w:r>
    </w:p>
    <w:p>
      <w:pPr>
        <w:spacing w:line="420" w:lineRule="exact"/>
        <w:ind w:firstLine="420" w:firstLineChars="200"/>
      </w:pPr>
      <w:r>
        <w:rPr>
          <w:rFonts w:hint="eastAsia"/>
        </w:rPr>
        <w:t>6.2政府根据现行的中国税法对卖方征收的与执行本合同有关的一切税费，均由卖方承担。</w:t>
      </w:r>
    </w:p>
    <w:p>
      <w:pPr>
        <w:spacing w:line="420" w:lineRule="exact"/>
        <w:ind w:firstLine="420" w:firstLineChars="200"/>
      </w:pPr>
      <w:r>
        <w:rPr>
          <w:rFonts w:hint="eastAsia"/>
        </w:rPr>
        <w:t>6.3在买方国家境外发生的与本合同执行有关的一切税费均由卖方承担。</w:t>
      </w:r>
    </w:p>
    <w:p>
      <w:pPr>
        <w:spacing w:line="420" w:lineRule="exact"/>
        <w:rPr>
          <w:b/>
        </w:rPr>
      </w:pPr>
      <w:r>
        <w:rPr>
          <w:b/>
        </w:rPr>
        <w:t>7</w:t>
      </w:r>
      <w:r>
        <w:rPr>
          <w:rFonts w:hint="eastAsia"/>
          <w:b/>
        </w:rPr>
        <w:t>.订单</w:t>
      </w:r>
    </w:p>
    <w:p>
      <w:pPr>
        <w:spacing w:line="420" w:lineRule="exact"/>
        <w:ind w:firstLine="420" w:firstLineChars="200"/>
      </w:pPr>
      <w:r>
        <w:rPr>
          <w:rFonts w:hint="eastAsia"/>
        </w:rPr>
        <w:t>签订合同后，买方按照实际需求分批向卖方发出订单，买方不保证完全按供货清单的内容、数量发出订单，卖方按照订单交货。</w:t>
      </w:r>
    </w:p>
    <w:p>
      <w:pPr>
        <w:spacing w:line="420" w:lineRule="exact"/>
        <w:ind w:firstLine="420" w:firstLineChars="200"/>
      </w:pPr>
      <w:r>
        <w:t>7</w:t>
      </w:r>
      <w:r>
        <w:rPr>
          <w:rFonts w:hint="eastAsia"/>
        </w:rPr>
        <w:t>.1交货时间</w:t>
      </w:r>
    </w:p>
    <w:p>
      <w:pPr>
        <w:spacing w:line="420" w:lineRule="exact"/>
        <w:ind w:firstLine="420" w:firstLineChars="200"/>
      </w:pPr>
      <w:r>
        <w:t>7</w:t>
      </w:r>
      <w:r>
        <w:rPr>
          <w:rFonts w:hint="eastAsia"/>
        </w:rPr>
        <w:t>.1.1根据买方需求</w:t>
      </w:r>
      <w:r>
        <w:t>，进行分批供货</w:t>
      </w:r>
      <w:r>
        <w:rPr>
          <w:rFonts w:hint="eastAsia"/>
        </w:rPr>
        <w:t>；</w:t>
      </w:r>
    </w:p>
    <w:p>
      <w:pPr>
        <w:spacing w:line="420" w:lineRule="exact"/>
        <w:ind w:firstLine="420" w:firstLineChars="200"/>
      </w:pPr>
      <w:r>
        <w:t>7</w:t>
      </w:r>
      <w:r>
        <w:rPr>
          <w:rFonts w:hint="eastAsia"/>
        </w:rPr>
        <w:t>.1.2接到买方通知后，</w:t>
      </w:r>
      <w:r>
        <w:t>30</w:t>
      </w:r>
      <w:r>
        <w:rPr>
          <w:rFonts w:hint="eastAsia"/>
        </w:rPr>
        <w:t>天</w:t>
      </w:r>
      <w:r>
        <w:t>内完成</w:t>
      </w:r>
      <w:r>
        <w:rPr>
          <w:rFonts w:hint="eastAsia"/>
        </w:rPr>
        <w:t>该批</w:t>
      </w:r>
      <w:r>
        <w:t>供货</w:t>
      </w:r>
      <w:r>
        <w:rPr>
          <w:rFonts w:hint="eastAsia"/>
        </w:rPr>
        <w:t>；</w:t>
      </w:r>
    </w:p>
    <w:p>
      <w:pPr>
        <w:spacing w:line="420" w:lineRule="exact"/>
        <w:ind w:firstLine="420" w:firstLineChars="200"/>
      </w:pPr>
      <w:r>
        <w:t>7</w:t>
      </w:r>
      <w:r>
        <w:rPr>
          <w:rFonts w:hint="eastAsia"/>
        </w:rPr>
        <w:t>.1.3如买方进度计划变更，应及时知会卖方。</w:t>
      </w:r>
    </w:p>
    <w:p>
      <w:pPr>
        <w:spacing w:line="420" w:lineRule="exact"/>
        <w:ind w:firstLine="420" w:firstLineChars="200"/>
      </w:pPr>
      <w:r>
        <w:t>7</w:t>
      </w:r>
      <w:r>
        <w:rPr>
          <w:rFonts w:hint="eastAsia"/>
        </w:rPr>
        <w:t>.2交货地点</w:t>
      </w:r>
    </w:p>
    <w:p>
      <w:pPr>
        <w:spacing w:line="420" w:lineRule="exact"/>
        <w:ind w:firstLine="420" w:firstLineChars="200"/>
      </w:pPr>
      <w:r>
        <w:rPr>
          <w:rFonts w:hint="eastAsia"/>
        </w:rPr>
        <w:t>交货地点为</w:t>
      </w:r>
      <w:r>
        <w:rPr>
          <w:rFonts w:hint="eastAsia" w:ascii="宋体" w:hAnsi="宋体"/>
          <w:u w:val="single"/>
        </w:rPr>
        <w:t>买方指定</w:t>
      </w:r>
      <w:r>
        <w:rPr>
          <w:rFonts w:ascii="宋体" w:hAnsi="宋体"/>
          <w:u w:val="single"/>
        </w:rPr>
        <w:t>的地点</w:t>
      </w:r>
      <w:r>
        <w:rPr>
          <w:rFonts w:hint="eastAsia" w:ascii="宋体" w:hAnsi="宋体"/>
        </w:rPr>
        <w:t>。</w:t>
      </w:r>
      <w:r>
        <w:rPr>
          <w:rFonts w:hint="eastAsia"/>
        </w:rPr>
        <w:t>买方指定具体堆放点，卖方交货前应做好防淋、防潮、防窃和防强光等事项。</w:t>
      </w:r>
    </w:p>
    <w:p>
      <w:pPr>
        <w:spacing w:line="420" w:lineRule="exact"/>
        <w:ind w:firstLine="420" w:firstLineChars="200"/>
      </w:pPr>
      <w:r>
        <w:t>7</w:t>
      </w:r>
      <w:r>
        <w:rPr>
          <w:rFonts w:hint="eastAsia"/>
        </w:rPr>
        <w:t>.3装运：卖方负责将货物运送到合同约定的交货地点。运杂费、</w:t>
      </w:r>
      <w:r>
        <w:t>装卸费</w:t>
      </w:r>
      <w:r>
        <w:rPr>
          <w:rFonts w:hint="eastAsia"/>
        </w:rPr>
        <w:t>等相关费用已包含在合同价款内。</w:t>
      </w:r>
    </w:p>
    <w:p>
      <w:pPr>
        <w:spacing w:line="420" w:lineRule="exact"/>
        <w:ind w:firstLine="420" w:firstLineChars="200"/>
      </w:pPr>
      <w:r>
        <w:t>7</w:t>
      </w:r>
      <w:r>
        <w:rPr>
          <w:rFonts w:hint="eastAsia"/>
        </w:rPr>
        <w:t>.4保险</w:t>
      </w:r>
    </w:p>
    <w:p>
      <w:pPr>
        <w:spacing w:line="420" w:lineRule="exact"/>
        <w:ind w:firstLine="420" w:firstLineChars="200"/>
      </w:pPr>
      <w:r>
        <w:rPr>
          <w:rFonts w:hint="eastAsia"/>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pPr>
        <w:spacing w:line="420" w:lineRule="exact"/>
        <w:ind w:firstLine="420" w:firstLineChars="200"/>
      </w:pPr>
      <w:r>
        <w:t>7</w:t>
      </w:r>
      <w:r>
        <w:rPr>
          <w:rFonts w:hint="eastAsia"/>
        </w:rPr>
        <w:t>.5包装要求</w:t>
      </w:r>
    </w:p>
    <w:p>
      <w:pPr>
        <w:spacing w:line="420" w:lineRule="exact"/>
        <w:ind w:firstLine="420" w:firstLineChars="200"/>
      </w:pPr>
      <w:r>
        <w:t>7</w:t>
      </w:r>
      <w:r>
        <w:rPr>
          <w:rFonts w:hint="eastAsia"/>
        </w:rPr>
        <w:t>.5.1除合同另有约定外，卖方提供的全部货物均应按标准保护措施进行包装，这类包装应适应于长途运输、防潮、防震、防锈和防野蛮装卸，以确保货物安全无损运抵指定现场。</w:t>
      </w:r>
    </w:p>
    <w:p>
      <w:pPr>
        <w:spacing w:line="420" w:lineRule="exact"/>
        <w:ind w:firstLine="420" w:firstLineChars="200"/>
      </w:pPr>
      <w:r>
        <w:t>7</w:t>
      </w:r>
      <w:r>
        <w:rPr>
          <w:rFonts w:hint="eastAsia"/>
        </w:rPr>
        <w:t>.5.2每一个包装箱内应附一份详细装箱单和质量证书。</w:t>
      </w:r>
    </w:p>
    <w:p>
      <w:pPr>
        <w:spacing w:line="420" w:lineRule="exact"/>
        <w:ind w:firstLine="420" w:firstLineChars="200"/>
      </w:pPr>
      <w:r>
        <w:t>7</w:t>
      </w:r>
      <w:r>
        <w:rPr>
          <w:rFonts w:hint="eastAsia"/>
        </w:rPr>
        <w:t>.5.3卖方应在每件包装箱的相邻四侧以醒目的中文做出下列标记：</w:t>
      </w:r>
    </w:p>
    <w:p>
      <w:pPr>
        <w:spacing w:line="420" w:lineRule="exact"/>
        <w:ind w:left="525" w:leftChars="100" w:hanging="315" w:hangingChars="150"/>
      </w:pPr>
      <w:r>
        <w:rPr>
          <w:rFonts w:hint="eastAsia"/>
        </w:rPr>
        <w:t xml:space="preserve"> （a）收货人；（b）合同号；（c）目的地；（d）货物名称；</w:t>
      </w:r>
    </w:p>
    <w:p>
      <w:pPr>
        <w:spacing w:line="420" w:lineRule="exact"/>
        <w:ind w:left="525" w:leftChars="100" w:hanging="315" w:hangingChars="150"/>
      </w:pPr>
      <w:r>
        <w:rPr>
          <w:rFonts w:hint="eastAsia"/>
        </w:rPr>
        <w:t xml:space="preserve"> （e）箱号；（f）毛重/净重；（g）尺寸｛长×宽×高，以厘米或cm计｝。</w:t>
      </w:r>
    </w:p>
    <w:p>
      <w:pPr>
        <w:spacing w:line="420" w:lineRule="exact"/>
        <w:ind w:left="525" w:leftChars="250" w:firstLine="42" w:firstLineChars="20"/>
      </w:pPr>
      <w:r>
        <w:rPr>
          <w:rFonts w:hint="eastAsia"/>
        </w:rPr>
        <w:t>参考标签：</w:t>
      </w:r>
    </w:p>
    <w:p>
      <w:pPr>
        <w:spacing w:line="420" w:lineRule="exact"/>
        <w:ind w:left="525" w:leftChars="250" w:firstLine="42" w:firstLineChars="20"/>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pPr>
        <w:spacing w:line="420" w:lineRule="exact"/>
        <w:ind w:left="525" w:leftChars="250" w:firstLine="42" w:firstLineChars="20"/>
      </w:pPr>
      <w:r>
        <w:t>XXXXX</w:t>
      </w:r>
      <w:r>
        <w:rPr>
          <w:rFonts w:hint="eastAsia"/>
        </w:rPr>
        <w:t xml:space="preserve">                     </w:t>
      </w:r>
      <w:r>
        <w:t>XXXXX</w:t>
      </w:r>
      <w:r>
        <w:tab/>
      </w:r>
      <w:r>
        <w:rPr>
          <w:rFonts w:hint="eastAsia"/>
        </w:rPr>
        <w:t xml:space="preserve">      </w:t>
      </w:r>
      <w:r>
        <w:t>XXXXX</w:t>
      </w:r>
      <w:r>
        <w:tab/>
      </w:r>
      <w:r>
        <w:rPr>
          <w:rFonts w:hint="eastAsia"/>
        </w:rPr>
        <w:t xml:space="preserve">       </w:t>
      </w:r>
      <w:r>
        <w:t>XXXXX</w:t>
      </w:r>
    </w:p>
    <w:p>
      <w:pPr>
        <w:spacing w:line="420" w:lineRule="exact"/>
        <w:ind w:firstLine="420" w:firstLineChars="20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pPr>
        <w:spacing w:line="420" w:lineRule="exact"/>
      </w:pPr>
      <w:r>
        <w:rPr>
          <w:b/>
        </w:rPr>
        <w:t>8</w:t>
      </w:r>
      <w:r>
        <w:rPr>
          <w:rFonts w:hint="eastAsia"/>
          <w:b/>
        </w:rPr>
        <w:t>.质量保证</w:t>
      </w:r>
    </w:p>
    <w:p>
      <w:pPr>
        <w:spacing w:line="420" w:lineRule="exact"/>
        <w:ind w:firstLine="420" w:firstLineChars="200"/>
      </w:pPr>
      <w:r>
        <w:t>8</w:t>
      </w:r>
      <w:r>
        <w:rPr>
          <w:rFonts w:hint="eastAsia"/>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pPr>
        <w:spacing w:line="420" w:lineRule="exact"/>
        <w:ind w:firstLine="420" w:firstLineChars="200"/>
      </w:pPr>
      <w:r>
        <w:t>8.</w:t>
      </w:r>
      <w:r>
        <w:rPr>
          <w:rFonts w:hint="eastAsia"/>
        </w:rPr>
        <w:t>2在正常操作条件下，卖方保证合同项下卖方所提供的货物不会因为任何潜在缺陷发生安全事故。</w:t>
      </w:r>
    </w:p>
    <w:p>
      <w:pPr>
        <w:spacing w:line="420" w:lineRule="exact"/>
        <w:ind w:firstLine="420" w:firstLineChars="200"/>
      </w:pPr>
      <w:r>
        <w:t>8</w:t>
      </w:r>
      <w:r>
        <w:rPr>
          <w:rFonts w:hint="eastAsia"/>
        </w:rPr>
        <w:t>.3对于货物存在的隐蔽瑕疵或功能缺陷，验收货物时在数量和外观上难以发现的，买方有权于发现时要求买方及时弥补缺陷，或者退换不符合合同约定的货物。</w:t>
      </w:r>
    </w:p>
    <w:p>
      <w:pPr>
        <w:spacing w:line="420" w:lineRule="exact"/>
        <w:ind w:firstLine="420" w:firstLineChars="20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pPr>
        <w:spacing w:line="420" w:lineRule="exact"/>
      </w:pPr>
      <w:r>
        <w:rPr>
          <w:b/>
        </w:rPr>
        <w:t>9</w:t>
      </w:r>
      <w:r>
        <w:rPr>
          <w:rFonts w:hint="eastAsia"/>
          <w:b/>
        </w:rPr>
        <w:t>.质保期</w:t>
      </w:r>
    </w:p>
    <w:p>
      <w:pPr>
        <w:spacing w:line="420" w:lineRule="exact"/>
        <w:ind w:firstLine="420" w:firstLineChars="200"/>
      </w:pPr>
      <w:r>
        <w:t>9</w:t>
      </w:r>
      <w:r>
        <w:rPr>
          <w:rFonts w:hint="eastAsia"/>
        </w:rPr>
        <w:t>.1合同货物质保期以该货物验收合格之日起计算。在质保期内出现质量问题，由卖方在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pPr>
        <w:spacing w:line="420" w:lineRule="exact"/>
        <w:ind w:firstLine="420" w:firstLineChars="200"/>
      </w:pPr>
      <w:r>
        <w:t>9</w:t>
      </w:r>
      <w:r>
        <w:rPr>
          <w:rFonts w:hint="eastAsia"/>
        </w:rPr>
        <w:t>.2质保期为</w:t>
      </w:r>
      <w:r>
        <w:rPr>
          <w:u w:val="single"/>
        </w:rPr>
        <w:t>1</w:t>
      </w:r>
      <w:r>
        <w:rPr>
          <w:rFonts w:hint="eastAsia"/>
        </w:rPr>
        <w:t>年。</w:t>
      </w:r>
      <w:r>
        <w:t xml:space="preserve"> </w:t>
      </w:r>
    </w:p>
    <w:p>
      <w:pPr>
        <w:spacing w:line="420" w:lineRule="exact"/>
        <w:rPr>
          <w:b/>
        </w:rPr>
      </w:pPr>
      <w:r>
        <w:rPr>
          <w:rFonts w:hint="eastAsia"/>
          <w:b/>
        </w:rPr>
        <w:t>1</w:t>
      </w:r>
      <w:r>
        <w:rPr>
          <w:b/>
        </w:rPr>
        <w:t>0</w:t>
      </w:r>
      <w:r>
        <w:rPr>
          <w:rFonts w:hint="eastAsia"/>
          <w:b/>
        </w:rPr>
        <w:t>.验收</w:t>
      </w:r>
    </w:p>
    <w:p>
      <w:pPr>
        <w:spacing w:line="420" w:lineRule="exact"/>
        <w:ind w:firstLine="420" w:firstLineChars="200"/>
      </w:pPr>
      <w:r>
        <w:rPr>
          <w:rFonts w:hint="eastAsia"/>
        </w:rPr>
        <w:t>1</w:t>
      </w:r>
      <w:r>
        <w:t>0</w:t>
      </w:r>
      <w:r>
        <w:rPr>
          <w:rFonts w:hint="eastAsia"/>
        </w:rPr>
        <w:t>.1初步验收</w:t>
      </w:r>
    </w:p>
    <w:p>
      <w:pPr>
        <w:spacing w:line="420" w:lineRule="exact"/>
        <w:ind w:firstLine="420" w:firstLineChars="200"/>
      </w:pPr>
      <w:r>
        <w:rPr>
          <w:rFonts w:hint="eastAsia"/>
        </w:rPr>
        <w:t>1</w:t>
      </w:r>
      <w:r>
        <w:t>0</w:t>
      </w:r>
      <w:r>
        <w:rPr>
          <w:rFonts w:hint="eastAsia"/>
        </w:rPr>
        <w:t>.1.1在交货前，卖方应负责货物的包装完整无损。供货前至少2天联系买方仓储人员，确定具体供货时间。</w:t>
      </w:r>
    </w:p>
    <w:p>
      <w:pPr>
        <w:spacing w:line="420" w:lineRule="exact"/>
        <w:ind w:firstLine="420" w:firstLineChars="200"/>
      </w:pPr>
      <w:r>
        <w:rPr>
          <w:rFonts w:hint="eastAsia"/>
        </w:rPr>
        <w:t>1</w:t>
      </w:r>
      <w:r>
        <w:t>0</w:t>
      </w:r>
      <w:r>
        <w:rPr>
          <w:rFonts w:hint="eastAsia"/>
        </w:rPr>
        <w:t>.1.2货物（含当批供货清单）运抵现场后，买方清点数量、外观检查合格后，卖方卸货至指定位置，买方签收货物。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pPr>
        <w:spacing w:line="420" w:lineRule="exact"/>
        <w:ind w:firstLine="420" w:firstLineChars="200"/>
      </w:pPr>
      <w:r>
        <w:rPr>
          <w:rFonts w:hint="eastAsia"/>
        </w:rPr>
        <w:t>1</w:t>
      </w:r>
      <w:r>
        <w:t>0</w:t>
      </w:r>
      <w:r>
        <w:rPr>
          <w:rFonts w:hint="eastAsia"/>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pPr>
        <w:spacing w:line="420" w:lineRule="exact"/>
        <w:ind w:left="59" w:leftChars="28" w:firstLine="420" w:firstLineChars="200"/>
      </w:pPr>
      <w:r>
        <w:rPr>
          <w:rFonts w:hint="eastAsia"/>
        </w:rPr>
        <w:t>1</w:t>
      </w:r>
      <w:r>
        <w:t>0</w:t>
      </w:r>
      <w:r>
        <w:rPr>
          <w:rFonts w:hint="eastAsia"/>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pPr>
        <w:spacing w:line="420" w:lineRule="exact"/>
        <w:ind w:left="59" w:leftChars="28" w:firstLine="420" w:firstLineChars="200"/>
      </w:pPr>
      <w:r>
        <w:rPr>
          <w:rFonts w:hint="eastAsia"/>
        </w:rPr>
        <w:t>1</w:t>
      </w:r>
      <w:r>
        <w:t>0</w:t>
      </w:r>
      <w:r>
        <w:rPr>
          <w:rFonts w:hint="eastAsia"/>
        </w:rPr>
        <w:t>.1.5按国家计量法规及</w:t>
      </w:r>
      <w:r>
        <w:rPr>
          <w:rFonts w:hint="eastAsia" w:ascii="宋体" w:hAnsi="宋体"/>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pPr>
        <w:spacing w:line="420" w:lineRule="exact"/>
        <w:ind w:firstLine="420" w:firstLineChars="200"/>
      </w:pPr>
      <w:r>
        <w:rPr>
          <w:rFonts w:hint="eastAsia"/>
        </w:rPr>
        <w:t>1</w:t>
      </w:r>
      <w:r>
        <w:t>0</w:t>
      </w:r>
      <w:r>
        <w:rPr>
          <w:rFonts w:hint="eastAsia"/>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pPr>
        <w:spacing w:line="420" w:lineRule="exact"/>
        <w:ind w:firstLine="420" w:firstLineChars="200"/>
      </w:pPr>
      <w:r>
        <w:rPr>
          <w:rFonts w:hint="eastAsia"/>
        </w:rPr>
        <w:t>1</w:t>
      </w:r>
      <w:r>
        <w:t>0.3</w:t>
      </w:r>
      <w:r>
        <w:rPr>
          <w:rFonts w:hint="eastAsia"/>
        </w:rPr>
        <w:t>风险转移</w:t>
      </w:r>
    </w:p>
    <w:p>
      <w:pPr>
        <w:spacing w:line="420" w:lineRule="exact"/>
        <w:ind w:firstLine="420" w:firstLineChars="200"/>
      </w:pPr>
      <w:r>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pPr>
        <w:spacing w:line="420" w:lineRule="exact"/>
      </w:pPr>
      <w:r>
        <w:rPr>
          <w:rFonts w:hint="eastAsia"/>
          <w:b/>
        </w:rPr>
        <w:t>11.知识产权</w:t>
      </w:r>
    </w:p>
    <w:p>
      <w:pPr>
        <w:spacing w:line="420" w:lineRule="exact"/>
        <w:ind w:firstLine="420" w:firstLineChars="200"/>
      </w:pPr>
      <w:r>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pPr>
        <w:spacing w:line="420" w:lineRule="exact"/>
        <w:rPr>
          <w:b/>
        </w:rPr>
      </w:pPr>
      <w:r>
        <w:rPr>
          <w:rFonts w:hint="eastAsia"/>
          <w:b/>
        </w:rPr>
        <w:t>1</w:t>
      </w:r>
      <w:r>
        <w:rPr>
          <w:b/>
        </w:rPr>
        <w:t>2</w:t>
      </w:r>
      <w:r>
        <w:rPr>
          <w:rFonts w:hint="eastAsia"/>
          <w:b/>
        </w:rPr>
        <w:t>.不可抗力</w:t>
      </w:r>
    </w:p>
    <w:p>
      <w:pPr>
        <w:spacing w:line="420" w:lineRule="exact"/>
        <w:ind w:firstLine="420" w:firstLineChars="200"/>
      </w:pPr>
      <w:r>
        <w:rPr>
          <w:rFonts w:hint="eastAsia"/>
        </w:rPr>
        <w:t>1</w:t>
      </w:r>
      <w:r>
        <w:t>2</w:t>
      </w:r>
      <w:r>
        <w:rPr>
          <w:rFonts w:hint="eastAsia"/>
        </w:rPr>
        <w:t>.1本条所述的“不可抗力”系指签约各方在缔结合同时所不能预见的、并且它的发生及其后果是无法避免和无法克服的事件，诸如战争、地震、水灾、火灾、暴风雪等，以及双方同意的其他不可抗力事件。</w:t>
      </w:r>
    </w:p>
    <w:p>
      <w:pPr>
        <w:spacing w:line="420" w:lineRule="exact"/>
        <w:ind w:firstLine="420" w:firstLineChars="200"/>
      </w:pPr>
      <w:r>
        <w:rPr>
          <w:rFonts w:hint="eastAsia"/>
        </w:rPr>
        <w:t>1</w:t>
      </w:r>
      <w:r>
        <w:t>2</w:t>
      </w:r>
      <w:r>
        <w:rPr>
          <w:rFonts w:hint="eastAsia"/>
        </w:rPr>
        <w:t>.2如果卖方因不可抗力而导致合同实施延误或不能履行合同义务的，根据不可抗力事件的影响，免除部分或全部误期赔偿或终止合同的责任。</w:t>
      </w:r>
    </w:p>
    <w:p>
      <w:pPr>
        <w:spacing w:line="420" w:lineRule="exact"/>
        <w:ind w:firstLine="420" w:firstLineChars="200"/>
      </w:pPr>
      <w:r>
        <w:rPr>
          <w:rFonts w:hint="eastAsia"/>
        </w:rPr>
        <w:t>1</w:t>
      </w:r>
      <w:r>
        <w:t>2</w:t>
      </w:r>
      <w:r>
        <w:rPr>
          <w:rFonts w:hint="eastAsia"/>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pPr>
        <w:spacing w:line="420" w:lineRule="exact"/>
        <w:rPr>
          <w:b/>
        </w:rPr>
      </w:pPr>
      <w:r>
        <w:rPr>
          <w:rFonts w:hint="eastAsia"/>
          <w:b/>
        </w:rPr>
        <w:t>13.合同变更与终止</w:t>
      </w:r>
    </w:p>
    <w:p>
      <w:pPr>
        <w:spacing w:line="420" w:lineRule="exact"/>
        <w:ind w:firstLine="420" w:firstLineChars="200"/>
      </w:pPr>
      <w:r>
        <w:rPr>
          <w:rFonts w:hint="eastAsia"/>
        </w:rPr>
        <w:t>13.1合同的变更</w:t>
      </w:r>
    </w:p>
    <w:p>
      <w:pPr>
        <w:spacing w:line="420" w:lineRule="exact"/>
        <w:ind w:firstLine="420" w:firstLineChars="200"/>
      </w:pPr>
      <w:r>
        <w:rPr>
          <w:rFonts w:hint="eastAsia"/>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pPr>
        <w:spacing w:line="420" w:lineRule="exact"/>
        <w:ind w:firstLine="420" w:firstLineChars="200"/>
      </w:pPr>
      <w:r>
        <w:rPr>
          <w:rFonts w:hint="eastAsia"/>
        </w:rPr>
        <w:t>13.1.2无论是按原合同要求，或是根据现场实际情况做出变更提供货物，卖方都不能免除其对货物应承担的责任。</w:t>
      </w:r>
    </w:p>
    <w:p>
      <w:pPr>
        <w:spacing w:line="420" w:lineRule="exact"/>
        <w:ind w:firstLine="420" w:firstLineChars="200"/>
      </w:pPr>
      <w:r>
        <w:rPr>
          <w:rFonts w:hint="eastAsia"/>
        </w:rPr>
        <w:t>13.1.3除了买卖双方签署书面修改协议，并成为本合同不可分割的一部分的情况之外，本合同的条件不得有任何变化或修改。</w:t>
      </w:r>
    </w:p>
    <w:p>
      <w:pPr>
        <w:spacing w:line="420" w:lineRule="exact"/>
        <w:ind w:firstLine="420" w:firstLineChars="200"/>
      </w:pPr>
      <w:r>
        <w:rPr>
          <w:rFonts w:hint="eastAsia"/>
        </w:rPr>
        <w:t>13.2合同的终止</w:t>
      </w:r>
    </w:p>
    <w:p>
      <w:pPr>
        <w:spacing w:line="420" w:lineRule="exact"/>
        <w:ind w:firstLine="420" w:firstLineChars="200"/>
      </w:pPr>
      <w:r>
        <w:rPr>
          <w:rFonts w:hint="eastAsia"/>
        </w:rPr>
        <w:t>13.2.1合同自然终止</w:t>
      </w:r>
    </w:p>
    <w:p>
      <w:pPr>
        <w:spacing w:line="420" w:lineRule="exact"/>
        <w:ind w:firstLine="420" w:firstLineChars="200"/>
      </w:pPr>
      <w:r>
        <w:rPr>
          <w:rFonts w:hint="eastAsia"/>
        </w:rPr>
        <w:t>买卖双方各自完成合同约定的责任和义务，合同自然终止。</w:t>
      </w:r>
    </w:p>
    <w:p>
      <w:pPr>
        <w:spacing w:line="420" w:lineRule="exact"/>
        <w:ind w:firstLine="420" w:firstLineChars="200"/>
      </w:pPr>
      <w:r>
        <w:rPr>
          <w:rFonts w:hint="eastAsia"/>
        </w:rPr>
        <w:t>13.2.2违约违规终止合同</w:t>
      </w:r>
    </w:p>
    <w:p>
      <w:pPr>
        <w:spacing w:line="420" w:lineRule="exact"/>
        <w:ind w:firstLine="420" w:firstLineChars="200"/>
      </w:pPr>
      <w:r>
        <w:rPr>
          <w:rFonts w:hint="eastAsia"/>
        </w:rPr>
        <w:t>出现下列情况之一时，在买方对卖方违约违规而买方对此采取的任何补救措施不受影响的情况下，买方可向卖方发出书面的违约通知书，提出解除部分或全部合同：</w:t>
      </w:r>
    </w:p>
    <w:p>
      <w:pPr>
        <w:spacing w:line="420" w:lineRule="exact"/>
        <w:ind w:firstLine="420" w:firstLineChars="200"/>
      </w:pPr>
      <w:r>
        <w:rPr>
          <w:rFonts w:hint="eastAsia"/>
        </w:rPr>
        <w:t>（1）如果卖方未能在合同约定的限期或买方同意延长的限期内提供部分或全部货物；</w:t>
      </w:r>
    </w:p>
    <w:p>
      <w:pPr>
        <w:spacing w:line="420" w:lineRule="exact"/>
        <w:ind w:firstLine="420" w:firstLineChars="200"/>
      </w:pPr>
      <w:r>
        <w:rPr>
          <w:rFonts w:hint="eastAsia"/>
        </w:rPr>
        <w:t>（2）如果卖方未能履行合同约定的其它任何义务；</w:t>
      </w:r>
    </w:p>
    <w:p>
      <w:pPr>
        <w:spacing w:line="420" w:lineRule="exact"/>
        <w:ind w:firstLine="420" w:firstLineChars="200"/>
      </w:pPr>
      <w:r>
        <w:rPr>
          <w:rFonts w:hint="eastAsia"/>
        </w:rPr>
        <w:t>（3）未经买方的书面同意，卖方擅自转让合同，或将部分项目分包出去或将整个合同项目转包出去；</w:t>
      </w:r>
    </w:p>
    <w:p>
      <w:pPr>
        <w:spacing w:line="420" w:lineRule="exact"/>
        <w:ind w:left="53" w:leftChars="25" w:firstLine="420" w:firstLineChars="200"/>
      </w:pPr>
      <w:r>
        <w:rPr>
          <w:rFonts w:hint="eastAsia"/>
        </w:rPr>
        <w:t>（4）如果卖方破产或无清偿能力，买方可在任何时候以书面形式通知卖方，提出终止合同而不给卖方补偿。该合同的终止将不损害或影响买方已经采取或将要采取的任何行动或补救措施的权利。</w:t>
      </w:r>
    </w:p>
    <w:p>
      <w:pPr>
        <w:spacing w:line="420" w:lineRule="exact"/>
      </w:pPr>
      <w:r>
        <w:rPr>
          <w:rFonts w:hint="eastAsia"/>
          <w:b/>
        </w:rPr>
        <w:t>14.违约责任</w:t>
      </w:r>
    </w:p>
    <w:p>
      <w:pPr>
        <w:spacing w:line="420" w:lineRule="exact"/>
        <w:ind w:left="53" w:leftChars="25" w:firstLine="420" w:firstLineChars="200"/>
      </w:pPr>
      <w:r>
        <w:rPr>
          <w:rFonts w:hint="eastAsia"/>
        </w:rPr>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pPr>
        <w:spacing w:line="420" w:lineRule="exact"/>
        <w:ind w:left="69" w:leftChars="33" w:firstLine="420" w:firstLineChars="20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如果卖方未按合同执行或因疏忽而未能履行本合同项下义务以致严重影响项目进行时，或由于卖方延误导致其应支付的违约金额超过迟交货物总价的3%时，买方有权解除合同。</w:t>
      </w:r>
    </w:p>
    <w:p>
      <w:pPr>
        <w:spacing w:line="420" w:lineRule="exact"/>
        <w:ind w:firstLine="420" w:firstLineChars="200"/>
      </w:pPr>
      <w:r>
        <w:rPr>
          <w:rFonts w:hint="eastAsia"/>
        </w:rPr>
        <w:t>1</w:t>
      </w:r>
      <w:r>
        <w:t>4.3</w:t>
      </w:r>
      <w:r>
        <w:rPr>
          <w:rFonts w:hint="eastAsia"/>
        </w:rPr>
        <w:t>根据13.2.2条约定合同终止后，买方可自己或由任何其他供应商完成本合同项目，买方有权要求卖方支付为完成本合同项目所招致的所有增加的费用。</w:t>
      </w:r>
    </w:p>
    <w:p>
      <w:pPr>
        <w:spacing w:line="420" w:lineRule="exact"/>
        <w:ind w:firstLine="420" w:firstLineChars="200"/>
      </w:pPr>
      <w:r>
        <w:rPr>
          <w:rFonts w:hint="eastAsia"/>
        </w:rPr>
        <w:t>1</w:t>
      </w:r>
      <w:r>
        <w:t>4.4</w:t>
      </w:r>
      <w:r>
        <w:rPr>
          <w:rFonts w:hint="eastAsia"/>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pPr>
        <w:spacing w:line="420" w:lineRule="exact"/>
      </w:pPr>
      <w:r>
        <w:rPr>
          <w:rFonts w:hint="eastAsia"/>
          <w:b/>
        </w:rPr>
        <w:t>1</w:t>
      </w:r>
      <w:r>
        <w:rPr>
          <w:b/>
        </w:rPr>
        <w:t>5</w:t>
      </w:r>
      <w:r>
        <w:rPr>
          <w:rFonts w:hint="eastAsia"/>
          <w:b/>
        </w:rPr>
        <w:t>.权利义务转让</w:t>
      </w:r>
    </w:p>
    <w:p>
      <w:pPr>
        <w:spacing w:line="420" w:lineRule="exact"/>
        <w:ind w:firstLine="420" w:firstLineChars="200"/>
      </w:pPr>
      <w:r>
        <w:rPr>
          <w:rFonts w:hint="eastAsia"/>
        </w:rPr>
        <w:t>未经买方的</w:t>
      </w:r>
      <w:r>
        <w:t>书面</w:t>
      </w:r>
      <w:r>
        <w:rPr>
          <w:rFonts w:hint="eastAsia"/>
        </w:rPr>
        <w:t>事先同意，卖方不得将本合同项下的任何权利和义务转让给第三方。</w:t>
      </w:r>
    </w:p>
    <w:p>
      <w:pPr>
        <w:spacing w:line="420" w:lineRule="exact"/>
        <w:rPr>
          <w:b/>
        </w:rPr>
      </w:pPr>
      <w:r>
        <w:rPr>
          <w:rFonts w:hint="eastAsia"/>
          <w:b/>
        </w:rPr>
        <w:t>1</w:t>
      </w:r>
      <w:r>
        <w:rPr>
          <w:b/>
        </w:rPr>
        <w:t>6</w:t>
      </w:r>
      <w:r>
        <w:rPr>
          <w:rFonts w:hint="eastAsia"/>
          <w:b/>
        </w:rPr>
        <w:t>.索赔</w:t>
      </w:r>
    </w:p>
    <w:p>
      <w:pPr>
        <w:spacing w:line="420" w:lineRule="exact"/>
        <w:ind w:firstLine="420" w:firstLineChars="200"/>
      </w:pPr>
      <w:r>
        <w:rPr>
          <w:rFonts w:hint="eastAsia"/>
        </w:rPr>
        <w:t>1</w:t>
      </w:r>
      <w:r>
        <w:t>6</w:t>
      </w:r>
      <w:r>
        <w:rPr>
          <w:rFonts w:hint="eastAsia"/>
        </w:rPr>
        <w:t>.1质量索赔</w:t>
      </w:r>
    </w:p>
    <w:p>
      <w:pPr>
        <w:spacing w:line="420" w:lineRule="exact"/>
        <w:ind w:firstLine="420" w:firstLineChars="200"/>
      </w:pPr>
      <w:r>
        <w:rPr>
          <w:rFonts w:hint="eastAsia"/>
        </w:rPr>
        <w:t>1</w:t>
      </w:r>
      <w:r>
        <w:t>6</w:t>
      </w:r>
      <w:r>
        <w:rPr>
          <w:rFonts w:hint="eastAsia"/>
        </w:rPr>
        <w:t>.1.1卖方应提供与合同要求相符的货物，如在到货验收或质量保证期内经检验，证实所供货物与合同不符或存在缺陷，或使用的材料不合格，买方可根据本合同有关质量保证或检验的约定提出索赔。</w:t>
      </w:r>
    </w:p>
    <w:p>
      <w:pPr>
        <w:spacing w:line="420" w:lineRule="exact"/>
        <w:ind w:firstLine="420" w:firstLineChars="200"/>
      </w:pPr>
      <w:r>
        <w:rPr>
          <w:rFonts w:hint="eastAsia"/>
        </w:rPr>
        <w:t>买方可以选择下述一种或多种结合的方法进行索赔事宜：</w:t>
      </w:r>
    </w:p>
    <w:p>
      <w:pPr>
        <w:spacing w:line="420" w:lineRule="exact"/>
        <w:ind w:firstLine="420" w:firstLineChars="200"/>
      </w:pPr>
      <w:r>
        <w:rPr>
          <w:rFonts w:hint="eastAsia"/>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pPr>
        <w:spacing w:line="420" w:lineRule="exact"/>
        <w:ind w:firstLine="420" w:firstLineChars="200"/>
      </w:pPr>
      <w:r>
        <w:rPr>
          <w:rFonts w:hint="eastAsia"/>
        </w:rPr>
        <w:t>（2）根据货物的疵劣和受损程度以及买方因此遭受损失的金额，经买卖双方商定，降低货物成交价格。</w:t>
      </w:r>
    </w:p>
    <w:p>
      <w:pPr>
        <w:spacing w:line="420" w:lineRule="exact"/>
        <w:ind w:firstLine="420" w:firstLineChars="200"/>
      </w:pPr>
      <w:r>
        <w:rPr>
          <w:rFonts w:hint="eastAsia"/>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pPr>
        <w:spacing w:line="420" w:lineRule="exact"/>
        <w:ind w:firstLine="420" w:firstLineChars="200"/>
      </w:pPr>
      <w:r>
        <w:rPr>
          <w:rFonts w:hint="eastAsia"/>
        </w:rPr>
        <w:t>1</w:t>
      </w:r>
      <w:r>
        <w:t>6</w:t>
      </w:r>
      <w:r>
        <w:rPr>
          <w:rFonts w:hint="eastAsia"/>
        </w:rPr>
        <w:t>.2延误索赔</w:t>
      </w:r>
    </w:p>
    <w:p>
      <w:pPr>
        <w:spacing w:line="420" w:lineRule="exact"/>
        <w:ind w:firstLine="420" w:firstLineChars="200"/>
      </w:pPr>
      <w:r>
        <w:rPr>
          <w:rFonts w:hint="eastAsia"/>
        </w:rPr>
        <w:t>1</w:t>
      </w:r>
      <w:r>
        <w:t>6</w:t>
      </w:r>
      <w:r>
        <w:rPr>
          <w:rFonts w:hint="eastAsia"/>
        </w:rPr>
        <w:t>.2.1卖方应按照合同约定的时间交货和提供服务。</w:t>
      </w:r>
    </w:p>
    <w:p>
      <w:pPr>
        <w:spacing w:line="420" w:lineRule="exact"/>
        <w:ind w:firstLine="420" w:firstLineChars="200"/>
      </w:pPr>
      <w:r>
        <w:rPr>
          <w:rFonts w:hint="eastAsia"/>
        </w:rPr>
        <w:t>1</w:t>
      </w:r>
      <w:r>
        <w:t>6</w:t>
      </w:r>
      <w:r>
        <w:rPr>
          <w:rFonts w:hint="eastAsia"/>
        </w:rPr>
        <w:t>.2.2除非双方书面同意延迟到货，若卖方未能按合同约定的货期交货，且延迟超过两（2）周，买方有权对超过两（2）周以后的延期追索违约金。每周违约金的金额为迟交货物价款</w:t>
      </w:r>
      <w:r>
        <w:t>的</w:t>
      </w:r>
      <w:r>
        <w:rPr>
          <w:rFonts w:hint="eastAsia"/>
          <w:u w:val="single"/>
        </w:rPr>
        <w:t>1</w:t>
      </w:r>
      <w:r>
        <w:rPr>
          <w:rFonts w:hint="eastAsia"/>
        </w:rPr>
        <w:t>%，一周为七（7）天，不足一（1）周的按一（1）周计算。误期索赔金额最高不得超过迟交货物总价的</w:t>
      </w:r>
      <w:r>
        <w:rPr>
          <w:rFonts w:hint="eastAsia"/>
          <w:u w:val="single"/>
        </w:rPr>
        <w:t>3</w:t>
      </w:r>
      <w:r>
        <w:rPr>
          <w:rFonts w:hint="eastAsia"/>
        </w:rPr>
        <w:t>%。如果延迟是不可抗力事件造成的，到货时间可相应延长。</w:t>
      </w:r>
    </w:p>
    <w:p>
      <w:pPr>
        <w:spacing w:line="420" w:lineRule="exact"/>
        <w:ind w:firstLine="420" w:firstLineChars="200"/>
      </w:pPr>
      <w:r>
        <w:rPr>
          <w:rFonts w:hint="eastAsia"/>
        </w:rPr>
        <w:t>1</w:t>
      </w:r>
      <w:r>
        <w:t>6</w:t>
      </w:r>
      <w:r>
        <w:rPr>
          <w:rFonts w:hint="eastAsia"/>
        </w:rPr>
        <w:t>.3变更索赔</w:t>
      </w:r>
    </w:p>
    <w:p>
      <w:pPr>
        <w:spacing w:line="420" w:lineRule="exact"/>
        <w:ind w:firstLine="420" w:firstLineChars="200"/>
      </w:pPr>
      <w:r>
        <w:rPr>
          <w:rFonts w:hint="eastAsia"/>
        </w:rPr>
        <w:t>1</w:t>
      </w:r>
      <w:r>
        <w:t>6</w:t>
      </w:r>
      <w:r>
        <w:rPr>
          <w:rFonts w:hint="eastAsia"/>
        </w:rPr>
        <w:t>.3.1在合同履行期间，如卖方无法按合同约定的货物的型号、规格、性能等要求供货，卖方要求变更合同条款的，卖方应向买方支付本合同项下该批货物含税总价款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%的违约金。除非货物原生产厂商出具了该型号、规格已停产或被替代的正式证明文件，且该货物停产、被替代时间是在合同签订之后，在获买方同意之后，卖方可不支付该项违约金。</w:t>
      </w:r>
    </w:p>
    <w:p>
      <w:pPr>
        <w:spacing w:line="420" w:lineRule="exact"/>
        <w:ind w:firstLine="420" w:firstLineChars="200"/>
      </w:pPr>
      <w:r>
        <w:rPr>
          <w:rFonts w:hint="eastAsia"/>
        </w:rPr>
        <w:t>1</w:t>
      </w:r>
      <w:r>
        <w:t>6</w:t>
      </w:r>
      <w:r>
        <w:rPr>
          <w:rFonts w:hint="eastAsia"/>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pPr>
        <w:spacing w:line="420" w:lineRule="exact"/>
        <w:ind w:firstLine="420" w:firstLineChars="200"/>
      </w:pPr>
      <w:r>
        <w:rPr>
          <w:rFonts w:hint="eastAsia"/>
        </w:rPr>
        <w:t>1</w:t>
      </w:r>
      <w:r>
        <w:t>6</w:t>
      </w:r>
      <w:r>
        <w:rPr>
          <w:rFonts w:hint="eastAsia"/>
        </w:rPr>
        <w:t>.4质保期结束后，对设备中因制造粗糙、设计缺陷和原材料缺陷但在上述质保期届满之前的合理检测中未能发现的潜在缺陷，卖方应负责免费维修或更换。</w:t>
      </w:r>
    </w:p>
    <w:p>
      <w:pPr>
        <w:spacing w:line="420" w:lineRule="exact"/>
        <w:ind w:firstLine="420" w:firstLineChars="200"/>
      </w:pPr>
      <w:r>
        <w:t>16.5</w:t>
      </w:r>
      <w:r>
        <w:rPr>
          <w:rFonts w:hint="eastAsia"/>
        </w:rPr>
        <w:t>卖方在履行合同过程中，给买方财产造成损失的，卖方应向买方赔偿。</w:t>
      </w:r>
    </w:p>
    <w:p>
      <w:pPr>
        <w:spacing w:line="420" w:lineRule="exact"/>
        <w:rPr>
          <w:b/>
        </w:rPr>
      </w:pPr>
      <w:r>
        <w:rPr>
          <w:rFonts w:hint="eastAsia"/>
          <w:b/>
        </w:rPr>
        <w:t>1</w:t>
      </w:r>
      <w:r>
        <w:rPr>
          <w:b/>
        </w:rPr>
        <w:t>7</w:t>
      </w:r>
      <w:r>
        <w:rPr>
          <w:rFonts w:hint="eastAsia"/>
          <w:b/>
        </w:rPr>
        <w:t>.争议的解决</w:t>
      </w:r>
    </w:p>
    <w:p>
      <w:pPr>
        <w:spacing w:line="420" w:lineRule="exact"/>
        <w:ind w:firstLine="420" w:firstLineChars="200"/>
      </w:pPr>
      <w:r>
        <w:rPr>
          <w:rFonts w:hint="eastAsia"/>
        </w:rPr>
        <w:t>1</w:t>
      </w:r>
      <w:r>
        <w:t>7</w:t>
      </w:r>
      <w:r>
        <w:rPr>
          <w:rFonts w:hint="eastAsia"/>
        </w:rPr>
        <w:t>.1买卖双方应首先通过友好协商，解决在执行本合同中所发生的或与本合同有关的一切争议。如从协商开始二十八（28）天内仍不能解决，合同任何一方可提请买方所在地人民法院提起诉讼解决，因诉讼产生的费用，包括但不限于诉讼费、保全费、鉴定费、评估费、律师费等由违约方承担。</w:t>
      </w:r>
    </w:p>
    <w:p>
      <w:pPr>
        <w:spacing w:line="420" w:lineRule="exact"/>
        <w:ind w:firstLine="420" w:firstLineChars="200"/>
      </w:pPr>
      <w:r>
        <w:rPr>
          <w:rFonts w:hint="eastAsia"/>
        </w:rPr>
        <w:t>1</w:t>
      </w:r>
      <w:r>
        <w:t>7</w:t>
      </w:r>
      <w:r>
        <w:rPr>
          <w:rFonts w:hint="eastAsia"/>
        </w:rPr>
        <w:t>.2在诉讼期间，除正在进行诉讼的部分外，本合同的其他部分应继续执行。</w:t>
      </w:r>
    </w:p>
    <w:p>
      <w:pPr>
        <w:pStyle w:val="2"/>
        <w:ind w:firstLine="210"/>
      </w:pPr>
    </w:p>
    <w:p>
      <w:pPr>
        <w:sectPr>
          <w:footerReference r:id="rId5" w:type="default"/>
          <w:pgSz w:w="11907" w:h="16840"/>
          <w:pgMar w:top="1134" w:right="1191" w:bottom="1304" w:left="1474" w:header="680" w:footer="680" w:gutter="0"/>
          <w:pgNumType w:fmt="numberInDash"/>
          <w:cols w:space="720" w:num="1"/>
          <w:titlePg/>
          <w:docGrid w:type="lines" w:linePitch="312" w:charSpace="0"/>
        </w:sectPr>
      </w:pPr>
      <w:r>
        <w:rPr>
          <w:rFonts w:hint="eastAsia" w:ascii="宋体" w:hAnsi="宋体"/>
          <w:b/>
          <w:sz w:val="22"/>
        </w:rPr>
        <w:t>注：本合同样本仅供参考，具体内容由采购人和成交单位协商确定</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第五章 采购需求</w:t>
      </w:r>
    </w:p>
    <w:p>
      <w:pPr>
        <w:pStyle w:val="2"/>
        <w:ind w:firstLine="0" w:firstLineChars="0"/>
      </w:pPr>
      <w:r>
        <w:rPr>
          <w:rFonts w:hint="eastAsia"/>
        </w:rPr>
        <w:t>附件一、采购需求清单</w:t>
      </w:r>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4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sz w:val="18"/>
                <w:szCs w:val="18"/>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4306010004</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潜水式排污泵</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50WQ15-15-1.5手提式，配齐管口卡扣，配带耦合装置</w:t>
            </w:r>
          </w:p>
        </w:tc>
        <w:tc>
          <w:tcPr>
            <w:tcW w:w="3020" w:type="dxa"/>
            <w:shd w:val="clear" w:color="auto" w:fill="auto"/>
            <w:vAlign w:val="center"/>
          </w:tcPr>
          <w:p>
            <w:pPr>
              <w:jc w:val="left"/>
              <w:rPr>
                <w:rFonts w:ascii="宋体" w:hAnsi="宋体" w:cs="宋体"/>
                <w:color w:val="000000"/>
                <w:sz w:val="18"/>
                <w:szCs w:val="18"/>
              </w:rPr>
            </w:pP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326" w:type="dxa"/>
            <w:vMerge w:val="restart"/>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jc w:val="center"/>
              <w:rPr>
                <w:rFonts w:ascii="宋体" w:hAnsi="宋体" w:cs="宋体"/>
                <w:sz w:val="18"/>
                <w:szCs w:val="18"/>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4306010022</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抽水泵一号（详见附件二）</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单台泵≤30kw，泵净重量≤45kg,扬程≥30m时单台泵流量≥200m³/h，材质：304不锈钢，转速≤ 3500 转/ 分钟，防护等级：IP67，出水口径：150mm，防护等级：IP67，螺纹接口</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mYCW级潜水电缆，配置2根40m长电缆，控制系统采用变频器控制，可拆卸，排水管：双面聚氨酯材料，工作压力≥16KG。管径DN150mm，总长度100米。配置配套浮圈。配备快速接头数量总计10套，均采用大口径自锁式铝合金材质接口,带两道卡箍。</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详见附件二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6707030001</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抽水泵二号（详见附件三）</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功率≤37kW，扬程≥40米，流量≥200m³/h，净重量≤ 50 kg，电压：380V ，材质304不锈钢，转速≤ 3500转/ 分钟，防护等级 IP 67以上，出水口径200 mm，螺纹接口</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mYCW级潜水电缆，配置2根40m长电缆，控制系统采用变频器控制，可拆卸，排水管：双面聚氨酯材料，工作压力≥16KG。管径DN200mm，总长度100米。配置配套浮圈。配备快速接头数量总计10套，均采用大口径自锁式铝合金材质接口,带两道卡箍。</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详见附件三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6604020010</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静音平板手推车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载重&gt;300kg</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把手可折叠，材质：铝合金，车板材质：高强度塑料，聚氨酯脚轮2个固定轮，2个万向轮，尺寸约为900*600mm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bl>
    <w:p>
      <w:r>
        <w:br w:type="page"/>
      </w:r>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64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color w:val="000000"/>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6604020022</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普通平板手推车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承重300kg，加厚不锈钢</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1.把手高度约860mm左右，把手可折叠；2.车板材质：加厚不锈钢，结实耐用；3.配置4个实心聚氨酯脚轮，2个固定轮，2个万向轮；4.车板长*宽：约700*1000mm；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326" w:type="dxa"/>
            <w:vMerge w:val="restart"/>
            <w:shd w:val="clear" w:color="auto" w:fill="auto"/>
            <w:vAlign w:val="center"/>
          </w:tcPr>
          <w:p>
            <w:pPr>
              <w:widowControl/>
              <w:jc w:val="center"/>
              <w:textAlignment w:val="center"/>
              <w:rPr>
                <w:rFonts w:ascii="宋体" w:hAnsi="宋体" w:cs="宋体"/>
                <w:sz w:val="18"/>
                <w:szCs w:val="18"/>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jc w:val="center"/>
              <w:rPr>
                <w:rFonts w:ascii="宋体" w:hAnsi="宋体" w:cs="宋体"/>
                <w:sz w:val="18"/>
                <w:szCs w:val="18"/>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6602020006</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活动扳手</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15寸375mm，最大开口45mm</w:t>
            </w:r>
          </w:p>
        </w:tc>
        <w:tc>
          <w:tcPr>
            <w:tcW w:w="3020" w:type="dxa"/>
            <w:shd w:val="clear" w:color="auto" w:fill="auto"/>
            <w:vAlign w:val="center"/>
          </w:tcPr>
          <w:p>
            <w:pPr>
              <w:jc w:val="left"/>
              <w:rPr>
                <w:rFonts w:ascii="宋体" w:hAnsi="宋体" w:cs="宋体"/>
                <w:color w:val="000000"/>
                <w:sz w:val="18"/>
                <w:szCs w:val="18"/>
              </w:rPr>
            </w:pP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把</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6603120009</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工业吸尘器</w:t>
            </w:r>
          </w:p>
        </w:tc>
        <w:tc>
          <w:tcPr>
            <w:tcW w:w="2491" w:type="dxa"/>
            <w:shd w:val="clear" w:color="auto" w:fill="auto"/>
            <w:vAlign w:val="center"/>
          </w:tcPr>
          <w:p>
            <w:pPr>
              <w:jc w:val="left"/>
              <w:rPr>
                <w:rFonts w:ascii="宋体" w:hAnsi="宋体" w:cs="宋体"/>
                <w:color w:val="000000"/>
                <w:sz w:val="18"/>
                <w:szCs w:val="18"/>
              </w:rPr>
            </w:pP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空气性能：60升/秒，真空：210hpa(mbar)，额定输入功率：1100瓦，容量：30升，吸尘软管：直径48毫米、电源线长度5.5米、重量10.5千克，标准配置：2.5米长吸尘软管</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6604020010</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静音平板手推车</w:t>
            </w:r>
          </w:p>
        </w:tc>
        <w:tc>
          <w:tcPr>
            <w:tcW w:w="2491"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载重&gt;300kg</w:t>
            </w: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把手可折叠，材质：铝合金，车板材质：高强度塑料，聚氨酯脚轮2个固定轮，2个万向轮，尺寸约为900*600mm</w:t>
            </w:r>
          </w:p>
        </w:tc>
        <w:tc>
          <w:tcPr>
            <w:tcW w:w="923" w:type="dxa"/>
            <w:shd w:val="clear" w:color="auto" w:fill="auto"/>
            <w:vAlign w:val="center"/>
          </w:tcPr>
          <w:p>
            <w:pPr>
              <w:jc w:val="cente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辆</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1226"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6605010005</w:t>
            </w:r>
          </w:p>
        </w:tc>
        <w:tc>
          <w:tcPr>
            <w:tcW w:w="1024"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多功能强光巡检电筒</w:t>
            </w:r>
          </w:p>
        </w:tc>
        <w:tc>
          <w:tcPr>
            <w:tcW w:w="2491" w:type="dxa"/>
            <w:shd w:val="clear" w:color="auto" w:fill="auto"/>
            <w:vAlign w:val="center"/>
          </w:tcPr>
          <w:p>
            <w:pPr>
              <w:jc w:val="left"/>
              <w:rPr>
                <w:rFonts w:ascii="宋体" w:hAnsi="宋体" w:cs="宋体"/>
                <w:color w:val="000000"/>
                <w:sz w:val="18"/>
                <w:szCs w:val="18"/>
              </w:rPr>
            </w:pPr>
          </w:p>
        </w:tc>
        <w:tc>
          <w:tcPr>
            <w:tcW w:w="3020" w:type="dxa"/>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额定电压：3.7V 额定容量：≥2Ah 额定功率：3/1W 连续放电时间：工作光：≥16h，强光：≥8h 充电时间：≤6h 超高亮度优质LED光源，平均使用寿命≥10万小时； 电池使用寿命：约1000次循环 优质抗冲击合金材料外壳，防护等级：≥IP66</w:t>
            </w: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把</w:t>
            </w:r>
          </w:p>
        </w:tc>
        <w:tc>
          <w:tcPr>
            <w:tcW w:w="1125" w:type="dxa"/>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2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6104990004</w:t>
            </w:r>
          </w:p>
        </w:tc>
        <w:tc>
          <w:tcPr>
            <w:tcW w:w="10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蓝牙音箱</w:t>
            </w:r>
          </w:p>
        </w:tc>
        <w:tc>
          <w:tcPr>
            <w:tcW w:w="24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喇叭尺寸6.5英寸，黑色，USB+3.5毫米音频接口；双声道</w:t>
            </w:r>
          </w:p>
        </w:tc>
        <w:tc>
          <w:tcPr>
            <w:tcW w:w="30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包含遥控器、背带；播放时间≥15小时；立体环绕音效；配有8G优盘；配有电源适配器。</w:t>
            </w: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1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bl>
    <w:p/>
    <w:tbl>
      <w:tblPr>
        <w:tblStyle w:val="17"/>
        <w:tblW w:w="14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24"/>
        <w:gridCol w:w="2491"/>
        <w:gridCol w:w="3020"/>
        <w:gridCol w:w="923"/>
        <w:gridCol w:w="909"/>
        <w:gridCol w:w="1125"/>
        <w:gridCol w:w="1326"/>
        <w:gridCol w:w="94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64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序号</w:t>
            </w:r>
          </w:p>
        </w:tc>
        <w:tc>
          <w:tcPr>
            <w:tcW w:w="12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物资编码</w:t>
            </w:r>
          </w:p>
        </w:tc>
        <w:tc>
          <w:tcPr>
            <w:tcW w:w="1024"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物资名称</w:t>
            </w:r>
          </w:p>
        </w:tc>
        <w:tc>
          <w:tcPr>
            <w:tcW w:w="2491"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规格型号</w:t>
            </w:r>
          </w:p>
        </w:tc>
        <w:tc>
          <w:tcPr>
            <w:tcW w:w="3020"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其他特征参数</w:t>
            </w:r>
          </w:p>
        </w:tc>
        <w:tc>
          <w:tcPr>
            <w:tcW w:w="923" w:type="dxa"/>
            <w:shd w:val="clear" w:color="auto" w:fill="auto"/>
            <w:vAlign w:val="center"/>
          </w:tcPr>
          <w:p>
            <w:pPr>
              <w:jc w:val="center"/>
              <w:rPr>
                <w:rFonts w:ascii="宋体" w:hAnsi="宋体" w:cs="宋体"/>
                <w:b/>
                <w:bCs/>
                <w:color w:val="000000"/>
                <w:sz w:val="18"/>
                <w:szCs w:val="18"/>
              </w:rPr>
            </w:pPr>
            <w:r>
              <w:rPr>
                <w:rFonts w:hint="eastAsia" w:ascii="宋体" w:hAnsi="宋体" w:cs="宋体"/>
                <w:b/>
                <w:bCs/>
                <w:sz w:val="18"/>
                <w:szCs w:val="18"/>
              </w:rPr>
              <w:t>品牌或制造商</w:t>
            </w:r>
          </w:p>
        </w:tc>
        <w:tc>
          <w:tcPr>
            <w:tcW w:w="909"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单位</w:t>
            </w:r>
          </w:p>
        </w:tc>
        <w:tc>
          <w:tcPr>
            <w:tcW w:w="1125"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数量</w:t>
            </w:r>
          </w:p>
        </w:tc>
        <w:tc>
          <w:tcPr>
            <w:tcW w:w="1326"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要求交货时间</w:t>
            </w:r>
          </w:p>
        </w:tc>
        <w:tc>
          <w:tcPr>
            <w:tcW w:w="943"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其他说明</w:t>
            </w:r>
          </w:p>
        </w:tc>
        <w:tc>
          <w:tcPr>
            <w:tcW w:w="838" w:type="dxa"/>
            <w:shd w:val="clear" w:color="auto" w:fill="auto"/>
            <w:vAlign w:val="center"/>
          </w:tcPr>
          <w:p>
            <w:pPr>
              <w:jc w:val="center"/>
              <w:rPr>
                <w:rFonts w:ascii="宋体" w:hAnsi="宋体" w:cs="宋体"/>
                <w:b/>
                <w:bCs/>
                <w:color w:val="000000"/>
                <w:kern w:val="0"/>
                <w:sz w:val="18"/>
                <w:szCs w:val="18"/>
                <w:lang w:bidi="ar"/>
              </w:rPr>
            </w:pPr>
            <w:r>
              <w:rPr>
                <w:rFonts w:hint="eastAsia" w:ascii="宋体" w:hAnsi="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12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6604050004</w:t>
            </w:r>
          </w:p>
        </w:tc>
        <w:tc>
          <w:tcPr>
            <w:tcW w:w="10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四层储物货架</w:t>
            </w:r>
          </w:p>
        </w:tc>
        <w:tc>
          <w:tcPr>
            <w:tcW w:w="24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L1500*W600*H2000mm，层载250kg</w:t>
            </w:r>
          </w:p>
        </w:tc>
        <w:tc>
          <w:tcPr>
            <w:tcW w:w="302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组</w:t>
            </w:r>
          </w:p>
        </w:tc>
        <w:tc>
          <w:tcPr>
            <w:tcW w:w="11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326" w:type="dxa"/>
            <w:vMerge w:val="restart"/>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sz w:val="18"/>
                <w:szCs w:val="18"/>
              </w:rPr>
              <w:t>接到买方通知后，30天内完成该批供货</w:t>
            </w:r>
          </w:p>
        </w:tc>
        <w:tc>
          <w:tcPr>
            <w:tcW w:w="943" w:type="dxa"/>
            <w:vMerge w:val="restart"/>
            <w:shd w:val="clear" w:color="auto" w:fill="auto"/>
            <w:vAlign w:val="center"/>
          </w:tcPr>
          <w:p>
            <w:pPr>
              <w:jc w:val="center"/>
              <w:rPr>
                <w:rFonts w:ascii="宋体" w:hAnsi="宋体" w:cs="宋体"/>
                <w:sz w:val="18"/>
                <w:szCs w:val="18"/>
              </w:rPr>
            </w:pPr>
            <w:r>
              <w:rPr>
                <w:rFonts w:hint="eastAsia" w:ascii="宋体" w:hAnsi="宋体" w:cs="宋体"/>
                <w:sz w:val="18"/>
                <w:szCs w:val="18"/>
              </w:rPr>
              <w:t>质保期</w:t>
            </w:r>
          </w:p>
          <w:p>
            <w:pPr>
              <w:widowControl/>
              <w:jc w:val="center"/>
              <w:textAlignment w:val="center"/>
              <w:rPr>
                <w:rFonts w:ascii="宋体" w:hAnsi="宋体" w:cs="宋体"/>
                <w:color w:val="000000"/>
                <w:kern w:val="0"/>
                <w:sz w:val="18"/>
                <w:szCs w:val="18"/>
                <w:lang w:bidi="ar"/>
              </w:rPr>
            </w:pPr>
            <w:r>
              <w:rPr>
                <w:rFonts w:hint="eastAsia" w:ascii="宋体" w:hAnsi="宋体" w:cs="宋体"/>
                <w:sz w:val="18"/>
                <w:szCs w:val="18"/>
              </w:rPr>
              <w:t>一年</w:t>
            </w: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12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6602100004</w:t>
            </w:r>
          </w:p>
        </w:tc>
        <w:tc>
          <w:tcPr>
            <w:tcW w:w="10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弯头镊子</w:t>
            </w:r>
          </w:p>
        </w:tc>
        <w:tc>
          <w:tcPr>
            <w:tcW w:w="24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长170mm，防滑</w:t>
            </w:r>
          </w:p>
        </w:tc>
        <w:tc>
          <w:tcPr>
            <w:tcW w:w="302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11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2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6602990018</w:t>
            </w:r>
          </w:p>
        </w:tc>
        <w:tc>
          <w:tcPr>
            <w:tcW w:w="10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手持式喊话器</w:t>
            </w:r>
          </w:p>
        </w:tc>
        <w:tc>
          <w:tcPr>
            <w:tcW w:w="24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黑色，配两块锂电池，录音时长480秒,支持USB和TF卡,单块电池使用时间≥20小时。</w:t>
            </w:r>
          </w:p>
        </w:tc>
        <w:tc>
          <w:tcPr>
            <w:tcW w:w="302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shd w:val="clear" w:color="auto" w:fill="auto"/>
            <w:noWrap/>
            <w:vAlign w:val="center"/>
          </w:tcPr>
          <w:p>
            <w:pPr>
              <w:rPr>
                <w:rFonts w:ascii="宋体" w:hAnsi="宋体" w:cs="宋体"/>
                <w:color w:val="000000"/>
                <w:sz w:val="18"/>
                <w:szCs w:val="18"/>
              </w:rPr>
            </w:pP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只</w:t>
            </w:r>
          </w:p>
        </w:tc>
        <w:tc>
          <w:tcPr>
            <w:tcW w:w="11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326"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943" w:type="dxa"/>
            <w:vMerge w:val="continue"/>
            <w:shd w:val="clear" w:color="auto" w:fill="auto"/>
            <w:vAlign w:val="center"/>
          </w:tcPr>
          <w:p>
            <w:pPr>
              <w:widowControl/>
              <w:jc w:val="center"/>
              <w:textAlignment w:val="center"/>
              <w:rPr>
                <w:rFonts w:ascii="宋体" w:hAnsi="宋体" w:cs="宋体"/>
                <w:color w:val="000000"/>
                <w:kern w:val="0"/>
                <w:sz w:val="18"/>
                <w:szCs w:val="18"/>
                <w:lang w:bidi="ar"/>
              </w:rPr>
            </w:pPr>
          </w:p>
        </w:tc>
        <w:tc>
          <w:tcPr>
            <w:tcW w:w="838" w:type="dxa"/>
            <w:shd w:val="clear" w:color="auto" w:fill="auto"/>
            <w:vAlign w:val="center"/>
          </w:tcPr>
          <w:p>
            <w:pPr>
              <w:widowControl/>
              <w:jc w:val="center"/>
              <w:textAlignment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6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2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6701010019</w:t>
            </w:r>
          </w:p>
        </w:tc>
        <w:tc>
          <w:tcPr>
            <w:tcW w:w="10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道岔钩锁器</w:t>
            </w:r>
          </w:p>
        </w:tc>
        <w:tc>
          <w:tcPr>
            <w:tcW w:w="24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P50，带钥匙2把，铜锁1把，扳手1把</w:t>
            </w:r>
          </w:p>
        </w:tc>
        <w:tc>
          <w:tcPr>
            <w:tcW w:w="3020" w:type="dxa"/>
            <w:vAlign w:val="center"/>
          </w:tcPr>
          <w:p>
            <w:pPr>
              <w:jc w:val="center"/>
              <w:rPr>
                <w:rFonts w:hint="eastAsia" w:ascii="宋体" w:hAnsi="宋体" w:eastAsia="宋体" w:cs="宋体"/>
                <w:i w:val="0"/>
                <w:iCs w:val="0"/>
                <w:color w:val="000000"/>
                <w:sz w:val="20"/>
                <w:szCs w:val="20"/>
                <w:u w:val="none"/>
              </w:rPr>
            </w:pPr>
          </w:p>
        </w:tc>
        <w:tc>
          <w:tcPr>
            <w:tcW w:w="923" w:type="dxa"/>
          </w:tcPr>
          <w:p>
            <w:pPr>
              <w:rPr>
                <w:rFonts w:ascii="宋体" w:hAnsi="宋体" w:cs="宋体"/>
                <w:color w:val="000000"/>
                <w:sz w:val="18"/>
                <w:szCs w:val="18"/>
              </w:rPr>
            </w:pPr>
          </w:p>
        </w:tc>
        <w:tc>
          <w:tcPr>
            <w:tcW w:w="9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326" w:type="dxa"/>
            <w:vMerge w:val="continue"/>
          </w:tcPr>
          <w:p>
            <w:pPr>
              <w:widowControl/>
              <w:jc w:val="center"/>
              <w:textAlignment w:val="center"/>
              <w:rPr>
                <w:rFonts w:ascii="宋体" w:hAnsi="宋体" w:cs="宋体"/>
                <w:color w:val="000000"/>
                <w:kern w:val="0"/>
                <w:sz w:val="18"/>
                <w:szCs w:val="18"/>
                <w:lang w:bidi="ar"/>
              </w:rPr>
            </w:pPr>
          </w:p>
        </w:tc>
        <w:tc>
          <w:tcPr>
            <w:tcW w:w="943" w:type="dxa"/>
            <w:vMerge w:val="continue"/>
          </w:tcPr>
          <w:p>
            <w:pPr>
              <w:widowControl/>
              <w:jc w:val="center"/>
              <w:textAlignment w:val="center"/>
              <w:rPr>
                <w:rFonts w:ascii="宋体" w:hAnsi="宋体" w:cs="宋体"/>
                <w:color w:val="000000"/>
                <w:kern w:val="0"/>
                <w:sz w:val="18"/>
                <w:szCs w:val="18"/>
                <w:lang w:bidi="ar"/>
              </w:rPr>
            </w:pPr>
          </w:p>
        </w:tc>
        <w:tc>
          <w:tcPr>
            <w:tcW w:w="838" w:type="dxa"/>
          </w:tcPr>
          <w:p>
            <w:pPr>
              <w:widowControl/>
              <w:jc w:val="center"/>
              <w:textAlignment w:val="center"/>
              <w:rPr>
                <w:rFonts w:ascii="宋体" w:hAnsi="宋体" w:cs="宋体"/>
                <w:color w:val="000000"/>
                <w:kern w:val="0"/>
                <w:sz w:val="18"/>
                <w:szCs w:val="18"/>
                <w:lang w:bidi="ar"/>
              </w:rPr>
            </w:pPr>
          </w:p>
        </w:tc>
      </w:tr>
    </w:tbl>
    <w:p>
      <w:pPr>
        <w:pStyle w:val="2"/>
        <w:ind w:firstLine="210"/>
      </w:pPr>
    </w:p>
    <w:p>
      <w:r>
        <w:br w:type="page"/>
      </w:r>
    </w:p>
    <w:p>
      <w:pPr>
        <w:pStyle w:val="2"/>
        <w:ind w:firstLine="0" w:firstLineChars="0"/>
      </w:pPr>
      <w:r>
        <w:rPr>
          <w:rFonts w:hint="eastAsia"/>
        </w:rPr>
        <w:t>附件二、抽水泵一号</w:t>
      </w:r>
    </w:p>
    <w:tbl>
      <w:tblPr>
        <w:tblStyle w:val="17"/>
        <w:tblW w:w="137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48"/>
        <w:gridCol w:w="2353"/>
        <w:gridCol w:w="102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blHeader/>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b/>
                <w:bCs/>
                <w:kern w:val="58"/>
                <w:sz w:val="21"/>
                <w:szCs w:val="21"/>
              </w:rPr>
            </w:pPr>
            <w:r>
              <w:rPr>
                <w:rFonts w:hint="eastAsia" w:ascii="宋体" w:hAnsi="宋体"/>
                <w:b/>
                <w:bCs/>
                <w:kern w:val="58"/>
                <w:sz w:val="21"/>
                <w:szCs w:val="21"/>
              </w:rPr>
              <w:t>抽水泵一号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rFonts w:hint="eastAsia"/>
                <w:kern w:val="58"/>
                <w:sz w:val="21"/>
                <w:szCs w:val="21"/>
              </w:rPr>
              <w:t>1.抽水泵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kern w:val="58"/>
                <w:sz w:val="21"/>
                <w:szCs w:val="21"/>
              </w:rPr>
              <w:t>潜水电泵类型</w:t>
            </w:r>
          </w:p>
        </w:tc>
        <w:tc>
          <w:tcPr>
            <w:tcW w:w="10262" w:type="dxa"/>
            <w:tcBorders>
              <w:top w:val="single" w:color="000000" w:sz="8" w:space="0"/>
              <w:left w:val="single" w:color="000000" w:sz="8" w:space="0"/>
              <w:bottom w:val="single" w:color="000000" w:sz="8" w:space="0"/>
              <w:right w:val="single" w:color="000000" w:sz="8" w:space="0"/>
            </w:tcBorders>
            <w:vAlign w:val="center"/>
          </w:tcPr>
          <w:p>
            <w:pPr>
              <w:pStyle w:val="45"/>
              <w:ind w:left="107"/>
              <w:rPr>
                <w:kern w:val="58"/>
                <w:sz w:val="21"/>
                <w:szCs w:val="21"/>
              </w:rPr>
            </w:pPr>
            <w:r>
              <w:rPr>
                <w:rFonts w:hint="eastAsia"/>
                <w:kern w:val="58"/>
                <w:sz w:val="21"/>
                <w:szCs w:val="21"/>
              </w:rPr>
              <w:t>轻型潜水排污泵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restart"/>
            <w:tcBorders>
              <w:top w:val="single" w:color="000000" w:sz="8" w:space="0"/>
              <w:left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p>
            <w:pPr>
              <w:jc w:val="center"/>
              <w:rPr>
                <w:rFonts w:ascii="宋体" w:hAnsi="宋体"/>
                <w:kern w:val="58"/>
                <w:szCs w:val="21"/>
              </w:rPr>
            </w:pPr>
          </w:p>
        </w:tc>
        <w:tc>
          <w:tcPr>
            <w:tcW w:w="2353" w:type="dxa"/>
            <w:vMerge w:val="restart"/>
            <w:tcBorders>
              <w:top w:val="single" w:color="000000" w:sz="8" w:space="0"/>
              <w:left w:val="single" w:color="000000" w:sz="8" w:space="0"/>
              <w:right w:val="single" w:color="000000" w:sz="8" w:space="0"/>
            </w:tcBorders>
            <w:vAlign w:val="center"/>
          </w:tcPr>
          <w:p>
            <w:pPr>
              <w:pStyle w:val="45"/>
              <w:ind w:left="107"/>
              <w:jc w:val="center"/>
              <w:rPr>
                <w:kern w:val="58"/>
                <w:sz w:val="21"/>
                <w:szCs w:val="21"/>
              </w:rPr>
            </w:pPr>
            <w:r>
              <w:rPr>
                <w:kern w:val="58"/>
                <w:sz w:val="21"/>
                <w:szCs w:val="21"/>
              </w:rPr>
              <w:t>便携式</w:t>
            </w:r>
            <w:r>
              <w:rPr>
                <w:rFonts w:hint="eastAsia"/>
                <w:kern w:val="58"/>
                <w:sz w:val="21"/>
                <w:szCs w:val="21"/>
              </w:rPr>
              <w:t>超</w:t>
            </w:r>
            <w:r>
              <w:rPr>
                <w:kern w:val="58"/>
                <w:sz w:val="21"/>
                <w:szCs w:val="21"/>
              </w:rPr>
              <w:t>高扬程潜水电泵的性能参数</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单台泵功率≤</w:t>
            </w:r>
            <w:r>
              <w:rPr>
                <w:rFonts w:hint="eastAsia" w:ascii="宋体" w:hAnsi="宋体"/>
                <w:kern w:val="58"/>
                <w:szCs w:val="21"/>
              </w:rPr>
              <w:t>30</w:t>
            </w:r>
            <w:r>
              <w:rPr>
                <w:rFonts w:ascii="宋体" w:hAnsi="宋体"/>
                <w:kern w:val="58"/>
                <w:szCs w:val="21"/>
              </w:rPr>
              <w:t xml:space="preserve"> </w:t>
            </w:r>
            <w:r>
              <w:rPr>
                <w:rFonts w:hint="eastAsia" w:ascii="宋体" w:hAnsi="宋体"/>
                <w:kern w:val="58"/>
                <w:szCs w:val="21"/>
              </w:rPr>
              <w:t>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扬程</w:t>
            </w:r>
            <w:r>
              <w:rPr>
                <w:rFonts w:ascii="宋体" w:hAnsi="宋体"/>
                <w:kern w:val="58"/>
                <w:szCs w:val="21"/>
              </w:rPr>
              <w:t>≥</w:t>
            </w:r>
            <w:r>
              <w:rPr>
                <w:rFonts w:hint="eastAsia" w:ascii="宋体" w:hAnsi="宋体"/>
                <w:kern w:val="58"/>
                <w:szCs w:val="21"/>
              </w:rPr>
              <w:t>30</w:t>
            </w:r>
            <w:r>
              <w:rPr>
                <w:rFonts w:ascii="宋体" w:hAnsi="宋体"/>
                <w:kern w:val="58"/>
                <w:szCs w:val="21"/>
              </w:rPr>
              <w:t>米</w:t>
            </w:r>
            <w:r>
              <w:rPr>
                <w:rFonts w:hint="eastAsia" w:ascii="宋体" w:hAnsi="宋体"/>
                <w:kern w:val="58"/>
                <w:szCs w:val="21"/>
              </w:rPr>
              <w:t>时</w:t>
            </w:r>
            <w:r>
              <w:rPr>
                <w:rFonts w:ascii="宋体" w:hAnsi="宋体"/>
                <w:kern w:val="58"/>
                <w:szCs w:val="21"/>
              </w:rPr>
              <w:t>单台泵流量≥2</w:t>
            </w:r>
            <w:r>
              <w:rPr>
                <w:rFonts w:hint="eastAsia" w:ascii="宋体" w:hAnsi="宋体"/>
                <w:kern w:val="58"/>
                <w:szCs w:val="21"/>
              </w:rPr>
              <w:t>00</w:t>
            </w:r>
            <w:r>
              <w:rPr>
                <w:rFonts w:ascii="宋体" w:hAnsi="宋体"/>
                <w:kern w:val="58"/>
                <w:szCs w:val="21"/>
              </w:rPr>
              <w:t xml:space="preserve"> </w:t>
            </w:r>
            <w:r>
              <w:rPr>
                <w:rFonts w:hint="eastAsia" w:ascii="宋体" w:hAnsi="宋体"/>
                <w:kern w:val="58"/>
                <w:szCs w:val="21"/>
              </w:rPr>
              <w:t>m³/h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tabs>
                <w:tab w:val="center" w:pos="2754"/>
              </w:tabs>
              <w:jc w:val="left"/>
              <w:rPr>
                <w:rFonts w:ascii="宋体" w:hAnsi="宋体"/>
                <w:kern w:val="58"/>
                <w:szCs w:val="21"/>
              </w:rPr>
            </w:pPr>
            <w:r>
              <w:rPr>
                <w:rFonts w:ascii="宋体" w:hAnsi="宋体"/>
                <w:kern w:val="58"/>
                <w:szCs w:val="21"/>
              </w:rPr>
              <w:t>泵</w:t>
            </w:r>
            <w:r>
              <w:rPr>
                <w:rFonts w:hint="eastAsia" w:ascii="宋体" w:hAnsi="宋体"/>
                <w:kern w:val="58"/>
                <w:szCs w:val="21"/>
              </w:rPr>
              <w:t>净重量</w:t>
            </w:r>
            <w:r>
              <w:rPr>
                <w:rFonts w:ascii="宋体" w:hAnsi="宋体"/>
                <w:kern w:val="58"/>
                <w:szCs w:val="21"/>
              </w:rPr>
              <w:t xml:space="preserve">≤ </w:t>
            </w:r>
            <w:r>
              <w:rPr>
                <w:rFonts w:hint="eastAsia" w:ascii="宋体" w:hAnsi="宋体"/>
                <w:kern w:val="58"/>
                <w:szCs w:val="21"/>
              </w:rPr>
              <w:t>45</w:t>
            </w:r>
            <w:r>
              <w:rPr>
                <w:rFonts w:ascii="宋体" w:hAnsi="宋体"/>
                <w:kern w:val="58"/>
                <w:szCs w:val="21"/>
              </w:rPr>
              <w:t xml:space="preserve"> </w:t>
            </w:r>
            <w:r>
              <w:rPr>
                <w:rFonts w:hint="eastAsia" w:ascii="宋体" w:hAnsi="宋体"/>
                <w:kern w:val="58"/>
                <w:szCs w:val="21"/>
              </w:rPr>
              <w:t>kg</w:t>
            </w:r>
            <w:r>
              <w:rPr>
                <w:rFonts w:hint="eastAsia" w:ascii="宋体" w:hAnsi="宋体"/>
                <w:kern w:val="58"/>
                <w:szCs w:val="21"/>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vMerge w:val="continue"/>
            <w:tcBorders>
              <w:left w:val="single" w:color="000000" w:sz="8" w:space="0"/>
              <w:bottom w:val="single" w:color="000000" w:sz="8" w:space="0"/>
              <w:right w:val="single" w:color="000000" w:sz="8" w:space="0"/>
            </w:tcBorders>
            <w:vAlign w:val="center"/>
          </w:tcPr>
          <w:p>
            <w:pPr>
              <w:jc w:val="center"/>
              <w:rPr>
                <w:rFonts w:ascii="宋体" w:hAnsi="宋体"/>
                <w:kern w:val="58"/>
                <w:szCs w:val="21"/>
              </w:rPr>
            </w:pPr>
          </w:p>
        </w:tc>
        <w:tc>
          <w:tcPr>
            <w:tcW w:w="2353" w:type="dxa"/>
            <w:vMerge w:val="continue"/>
            <w:tcBorders>
              <w:left w:val="single" w:color="000000" w:sz="8" w:space="0"/>
              <w:bottom w:val="single" w:color="000000" w:sz="8" w:space="0"/>
              <w:right w:val="single" w:color="000000" w:sz="8" w:space="0"/>
            </w:tcBorders>
            <w:vAlign w:val="center"/>
          </w:tcPr>
          <w:p>
            <w:pPr>
              <w:pStyle w:val="45"/>
              <w:ind w:left="107"/>
              <w:jc w:val="center"/>
              <w:rPr>
                <w:kern w:val="58"/>
                <w:sz w:val="21"/>
                <w:szCs w:val="21"/>
              </w:rPr>
            </w:pPr>
          </w:p>
        </w:tc>
        <w:tc>
          <w:tcPr>
            <w:tcW w:w="10262" w:type="dxa"/>
            <w:tcBorders>
              <w:top w:val="single" w:color="000000" w:sz="8" w:space="0"/>
              <w:left w:val="single" w:color="000000" w:sz="8" w:space="0"/>
              <w:bottom w:val="single" w:color="000000" w:sz="8" w:space="0"/>
              <w:right w:val="single" w:color="000000" w:sz="8" w:space="0"/>
            </w:tcBorders>
            <w:vAlign w:val="center"/>
          </w:tcPr>
          <w:p>
            <w:pPr>
              <w:rPr>
                <w:rFonts w:ascii="宋体" w:hAnsi="宋体"/>
                <w:kern w:val="58"/>
                <w:szCs w:val="21"/>
              </w:rPr>
            </w:pPr>
            <w:r>
              <w:rPr>
                <w:rFonts w:hint="eastAsia" w:ascii="宋体" w:hAnsi="宋体"/>
                <w:kern w:val="58"/>
                <w:szCs w:val="21"/>
              </w:rPr>
              <w:t>厂家需提供出厂报告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电压</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电压：380V</w:t>
            </w:r>
            <w:r>
              <w:rPr>
                <w:rFonts w:hint="eastAsia" w:ascii="宋体" w:hAnsi="宋体"/>
                <w:kern w:val="58"/>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潜水电泵材质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水泵整体采用304不锈钢材质、包含泵壳、主轴、出水端口等。电机绕组及磁极除外。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滤网结构材质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滤网需采用紧密型 304 不锈钢滤网包裹电机结构，</w:t>
            </w:r>
          </w:p>
          <w:p>
            <w:pPr>
              <w:jc w:val="left"/>
              <w:rPr>
                <w:rFonts w:ascii="宋体" w:hAnsi="宋体"/>
                <w:kern w:val="58"/>
                <w:szCs w:val="21"/>
              </w:rPr>
            </w:pPr>
            <w:r>
              <w:rPr>
                <w:rFonts w:ascii="宋体" w:hAnsi="宋体"/>
                <w:kern w:val="58"/>
                <w:szCs w:val="21"/>
              </w:rPr>
              <w:t>防止操作不当摔裂。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（6）</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水泵转速</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 xml:space="preserve">≤ </w:t>
            </w:r>
            <w:r>
              <w:rPr>
                <w:rFonts w:hint="eastAsia" w:ascii="宋体" w:hAnsi="宋体"/>
                <w:kern w:val="58"/>
                <w:szCs w:val="21"/>
              </w:rPr>
              <w:t>3500</w:t>
            </w:r>
            <w:r>
              <w:rPr>
                <w:rFonts w:ascii="宋体" w:hAnsi="宋体"/>
                <w:kern w:val="58"/>
                <w:szCs w:val="21"/>
              </w:rPr>
              <w:t xml:space="preserve"> 转/ 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（7）</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泵体防护等级</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安全防护等级 IP 6</w:t>
            </w:r>
            <w:r>
              <w:rPr>
                <w:rFonts w:hint="eastAsia" w:ascii="宋体" w:hAnsi="宋体"/>
                <w:kern w:val="58"/>
                <w:szCs w:val="21"/>
              </w:rPr>
              <w:t>7</w:t>
            </w:r>
            <w:r>
              <w:rPr>
                <w:rFonts w:ascii="宋体" w:hAnsi="宋体"/>
                <w:kern w:val="58"/>
                <w:szCs w:val="21"/>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hint="eastAsia" w:ascii="宋体" w:hAnsi="宋体"/>
                <w:kern w:val="58"/>
                <w:szCs w:val="21"/>
              </w:rPr>
              <w:t>（8）</w:t>
            </w:r>
          </w:p>
        </w:tc>
        <w:tc>
          <w:tcPr>
            <w:tcW w:w="23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ascii="宋体" w:hAnsi="宋体"/>
                <w:kern w:val="58"/>
                <w:szCs w:val="21"/>
              </w:rPr>
              <w:t>出水口及口径</w:t>
            </w:r>
          </w:p>
        </w:tc>
        <w:tc>
          <w:tcPr>
            <w:tcW w:w="102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kern w:val="58"/>
                <w:szCs w:val="21"/>
              </w:rPr>
            </w:pPr>
            <w:r>
              <w:rPr>
                <w:rFonts w:ascii="宋体" w:hAnsi="宋体"/>
                <w:kern w:val="58"/>
                <w:szCs w:val="21"/>
              </w:rPr>
              <w:t xml:space="preserve">出水口径 </w:t>
            </w:r>
            <w:r>
              <w:rPr>
                <w:rFonts w:hint="eastAsia" w:ascii="宋体" w:hAnsi="宋体"/>
                <w:kern w:val="58"/>
                <w:szCs w:val="21"/>
              </w:rPr>
              <w:t>150</w:t>
            </w:r>
            <w:r>
              <w:rPr>
                <w:rFonts w:ascii="宋体" w:hAnsi="宋体"/>
                <w:kern w:val="58"/>
                <w:szCs w:val="21"/>
              </w:rPr>
              <w:t xml:space="preserve"> mm（ </w:t>
            </w:r>
            <w:r>
              <w:rPr>
                <w:rFonts w:hint="eastAsia" w:ascii="宋体" w:hAnsi="宋体"/>
                <w:kern w:val="58"/>
                <w:szCs w:val="21"/>
              </w:rPr>
              <w:t>6</w:t>
            </w:r>
            <w:r>
              <w:rPr>
                <w:rFonts w:ascii="宋体" w:hAnsi="宋体"/>
                <w:kern w:val="58"/>
                <w:szCs w:val="21"/>
              </w:rPr>
              <w:t xml:space="preserve"> 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（9）</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泵头结构</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泵头采用目前通用的螺纹接口，与水带接口相匹配。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（10）</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hint="eastAsia" w:ascii="宋体" w:hAnsi="宋体"/>
                <w:kern w:val="58"/>
                <w:szCs w:val="21"/>
                <w:highlight w:val="yellow"/>
              </w:rPr>
              <w:t>其他要求</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投标产品需提供省级及以上非盈利性检测机构出具的检测报告，检测报告中需体现水泵在9类及以上不同流量扬程时水泵数据，需明确泵型号、扬程、功率、重量。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2179" w:right="2183"/>
              <w:jc w:val="center"/>
              <w:rPr>
                <w:kern w:val="58"/>
                <w:sz w:val="21"/>
                <w:szCs w:val="21"/>
              </w:rPr>
            </w:pPr>
            <w:r>
              <w:rPr>
                <w:rFonts w:hint="eastAsia"/>
                <w:kern w:val="58"/>
                <w:sz w:val="21"/>
                <w:szCs w:val="21"/>
              </w:rPr>
              <w:t>2.</w:t>
            </w:r>
            <w:r>
              <w:rPr>
                <w:kern w:val="58"/>
                <w:sz w:val="21"/>
                <w:szCs w:val="21"/>
              </w:rPr>
              <w:t xml:space="preserve"> 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YCW</w:t>
            </w:r>
            <w:r>
              <w:rPr>
                <w:rFonts w:ascii="宋体" w:hAnsi="宋体"/>
                <w:kern w:val="58"/>
                <w:szCs w:val="21"/>
              </w:rPr>
              <w:t>级潜水电缆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配套电缆数量</w:t>
            </w:r>
          </w:p>
          <w:p>
            <w:pPr>
              <w:jc w:val="center"/>
              <w:rPr>
                <w:rFonts w:ascii="宋体" w:hAnsi="宋体"/>
                <w:kern w:val="58"/>
                <w:szCs w:val="21"/>
              </w:rPr>
            </w:pPr>
            <w:r>
              <w:rPr>
                <w:rFonts w:ascii="宋体" w:hAnsi="宋体"/>
                <w:kern w:val="58"/>
                <w:szCs w:val="21"/>
              </w:rPr>
              <w:t>及要求</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水泵带40m电缆，配置2根40m长电缆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配套电缆接头防护等级</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潜水电泵自带电缆的自由端和延长电缆两端配备快速接头，接头防水等级达到 IP67。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r>
              <w:rPr>
                <w:rFonts w:ascii="宋体" w:hAnsi="宋体"/>
                <w:kern w:val="58"/>
                <w:szCs w:val="21"/>
              </w:rPr>
              <w:t xml:space="preserve"> 排水管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ascii="宋体" w:hAnsi="宋体"/>
                <w:kern w:val="58"/>
                <w:szCs w:val="21"/>
                <w:highlight w:val="yellow"/>
              </w:rPr>
              <w:t>排水管材质</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双面聚氨酯材料，水带工作压力≥16KG，爆破压力≥49KG、爆破后经线不断裂、水带延展率</w:t>
            </w:r>
            <w:r>
              <w:rPr>
                <w:rFonts w:hint="eastAsia" w:ascii="宋体" w:hAnsi="宋体" w:cs="宋体"/>
                <w:kern w:val="58"/>
                <w:szCs w:val="21"/>
                <w:highlight w:val="yellow"/>
              </w:rPr>
              <w:t>≦</w:t>
            </w:r>
            <w:r>
              <w:rPr>
                <w:rFonts w:hint="eastAsia" w:ascii="宋体" w:hAnsi="宋体"/>
                <w:kern w:val="58"/>
                <w:szCs w:val="21"/>
                <w:highlight w:val="yellow"/>
              </w:rPr>
              <w:t>2.1%、膨胀率</w:t>
            </w:r>
            <w:r>
              <w:rPr>
                <w:rFonts w:hint="eastAsia" w:ascii="宋体" w:hAnsi="宋体" w:cs="宋体"/>
                <w:kern w:val="58"/>
                <w:szCs w:val="21"/>
                <w:highlight w:val="yellow"/>
              </w:rPr>
              <w:t>≦</w:t>
            </w:r>
            <w:r>
              <w:rPr>
                <w:rFonts w:hint="eastAsia" w:ascii="宋体" w:hAnsi="宋体"/>
                <w:kern w:val="58"/>
                <w:szCs w:val="21"/>
                <w:highlight w:val="yellow"/>
              </w:rPr>
              <w:t>3.8%。每米重量</w:t>
            </w:r>
            <w:r>
              <w:rPr>
                <w:rFonts w:hint="eastAsia" w:ascii="宋体" w:hAnsi="宋体" w:cs="宋体"/>
                <w:kern w:val="58"/>
                <w:szCs w:val="21"/>
                <w:highlight w:val="yellow"/>
              </w:rPr>
              <w:t>≦</w:t>
            </w:r>
            <w:r>
              <w:rPr>
                <w:rFonts w:hint="eastAsia" w:ascii="宋体" w:hAnsi="宋体"/>
                <w:kern w:val="58"/>
                <w:szCs w:val="21"/>
                <w:highlight w:val="yellow"/>
              </w:rPr>
              <w:t>2.1kg，要求检测送样长度≥200m。水带上生产单位及规格标识清楚，水带颜色为红色。</w:t>
            </w:r>
          </w:p>
          <w:p>
            <w:pPr>
              <w:jc w:val="left"/>
              <w:rPr>
                <w:rFonts w:ascii="宋体" w:hAnsi="宋体"/>
                <w:kern w:val="58"/>
                <w:szCs w:val="21"/>
                <w:highlight w:val="yellow"/>
              </w:rPr>
            </w:pPr>
            <w:r>
              <w:rPr>
                <w:rFonts w:hint="eastAsia" w:ascii="宋体" w:hAnsi="宋体"/>
                <w:kern w:val="58"/>
                <w:szCs w:val="21"/>
                <w:highlight w:val="yellow"/>
              </w:rPr>
              <w:t>要求出具国家消防装备质量监督检验中心的检测报告。</w:t>
            </w:r>
          </w:p>
          <w:p>
            <w:pPr>
              <w:jc w:val="left"/>
              <w:rPr>
                <w:rFonts w:ascii="宋体" w:hAnsi="宋体"/>
                <w:kern w:val="58"/>
                <w:szCs w:val="21"/>
                <w:highlight w:val="yellow"/>
              </w:rPr>
            </w:pPr>
            <w:r>
              <w:rPr>
                <w:rFonts w:hint="eastAsia" w:ascii="宋体" w:hAnsi="宋体"/>
                <w:kern w:val="58"/>
                <w:szCs w:val="21"/>
                <w:highlight w:val="yellow"/>
              </w:rPr>
              <w:t>检测报告中需体现技术要求中的数据及水带内部附着强度。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排水管配置</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排水管</w:t>
            </w:r>
            <w:r>
              <w:rPr>
                <w:rFonts w:hint="eastAsia" w:ascii="宋体" w:hAnsi="宋体"/>
                <w:kern w:val="58"/>
                <w:szCs w:val="21"/>
              </w:rPr>
              <w:t>管径DN150mm，</w:t>
            </w:r>
            <w:r>
              <w:rPr>
                <w:rFonts w:ascii="宋体" w:hAnsi="宋体"/>
                <w:kern w:val="58"/>
                <w:szCs w:val="21"/>
              </w:rPr>
              <w:t>总长度</w:t>
            </w:r>
            <w:r>
              <w:rPr>
                <w:rFonts w:hint="eastAsia" w:ascii="宋体" w:hAnsi="宋体"/>
                <w:kern w:val="58"/>
                <w:szCs w:val="21"/>
              </w:rPr>
              <w:t>100米。配置配套浮圈</w:t>
            </w:r>
            <w:r>
              <w:rPr>
                <w:rFonts w:hint="eastAsia" w:ascii="宋体" w:hAnsi="宋体"/>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14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353"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排水</w:t>
            </w:r>
            <w:r>
              <w:rPr>
                <w:rFonts w:ascii="宋体" w:hAnsi="宋体"/>
                <w:kern w:val="58"/>
                <w:szCs w:val="21"/>
              </w:rPr>
              <w:t>管接头</w:t>
            </w:r>
          </w:p>
        </w:tc>
        <w:tc>
          <w:tcPr>
            <w:tcW w:w="10262"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配备快速接头数量总计10套，均采用大口径自锁式铝合金材质接口,带两道卡箍（提供实物图片）。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r>
              <w:rPr>
                <w:rFonts w:ascii="宋体" w:hAnsi="宋体"/>
                <w:kern w:val="58"/>
                <w:szCs w:val="21"/>
              </w:rPr>
              <w:t xml:space="preserve"> 水泵控制系统技术要求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0"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pStyle w:val="45"/>
              <w:tabs>
                <w:tab w:val="left" w:pos="357"/>
              </w:tabs>
              <w:ind w:left="107" w:right="92"/>
              <w:jc w:val="both"/>
              <w:rPr>
                <w:kern w:val="58"/>
                <w:sz w:val="21"/>
                <w:szCs w:val="21"/>
              </w:rPr>
            </w:pPr>
            <w:r>
              <w:rPr>
                <w:kern w:val="58"/>
                <w:sz w:val="21"/>
                <w:szCs w:val="21"/>
              </w:rPr>
              <w:t>带有漏电、 电流过载、 缺相、 过压、 欠压、 过频、欠频、电机过热等显示功能， 并具有相应的安全保护措施； 控制系统采用变频器控制</w:t>
            </w:r>
            <w:r>
              <w:rPr>
                <w:rFonts w:hint="eastAsia"/>
                <w:kern w:val="58"/>
                <w:sz w:val="21"/>
                <w:szCs w:val="21"/>
              </w:rPr>
              <w:t>，</w:t>
            </w:r>
            <w:r>
              <w:rPr>
                <w:kern w:val="58"/>
                <w:sz w:val="21"/>
                <w:szCs w:val="21"/>
              </w:rPr>
              <w:t>水泵电机转速可调。控制系统可以从移动柜上拆卸， 并可离发电机 50 米内正常工作</w:t>
            </w:r>
            <w:r>
              <w:rPr>
                <w:rFonts w:hint="eastAsia"/>
                <w:kern w:val="58"/>
                <w:sz w:val="21"/>
                <w:szCs w:val="21"/>
              </w:rPr>
              <w:t>，</w:t>
            </w:r>
            <w:r>
              <w:rPr>
                <w:kern w:val="58"/>
                <w:sz w:val="21"/>
                <w:szCs w:val="21"/>
              </w:rPr>
              <w:t>以实现远距离操作。拆卸后，控制系统和水泵也可以使用市电(380 V) 供电工作。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r>
              <w:rPr>
                <w:rFonts w:ascii="宋体" w:hAnsi="宋体"/>
                <w:kern w:val="58"/>
                <w:szCs w:val="21"/>
              </w:rPr>
              <w:t xml:space="preserve"> 设备其它技术要求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13763" w:type="dxa"/>
            <w:gridSpan w:val="3"/>
            <w:vAlign w:val="center"/>
          </w:tcPr>
          <w:p>
            <w:pPr>
              <w:pStyle w:val="45"/>
              <w:tabs>
                <w:tab w:val="left" w:pos="357"/>
              </w:tabs>
              <w:ind w:left="106"/>
              <w:rPr>
                <w:kern w:val="58"/>
                <w:sz w:val="21"/>
                <w:szCs w:val="21"/>
              </w:rPr>
            </w:pPr>
            <w:r>
              <w:rPr>
                <w:kern w:val="58"/>
                <w:sz w:val="21"/>
                <w:szCs w:val="21"/>
              </w:rPr>
              <w:t>设备通电后可实现自检功能：水泵通电的情况下具备故障自动检测功能。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jc w:val="center"/>
        </w:trPr>
        <w:tc>
          <w:tcPr>
            <w:tcW w:w="13763" w:type="dxa"/>
            <w:gridSpan w:val="3"/>
            <w:vAlign w:val="center"/>
          </w:tcPr>
          <w:p>
            <w:pPr>
              <w:pStyle w:val="45"/>
              <w:tabs>
                <w:tab w:val="left" w:pos="357"/>
              </w:tabs>
              <w:ind w:left="106"/>
              <w:rPr>
                <w:kern w:val="58"/>
                <w:sz w:val="21"/>
                <w:szCs w:val="21"/>
              </w:rPr>
            </w:pPr>
            <w:r>
              <w:rPr>
                <w:kern w:val="58"/>
                <w:sz w:val="21"/>
                <w:szCs w:val="21"/>
              </w:rPr>
              <w:t>控制系统可实现水泵脱水高温自动保护停机功能：水泵脱水时，为防止高温损坏，控制系统自动停机。</w:t>
            </w:r>
          </w:p>
        </w:tc>
      </w:tr>
    </w:tbl>
    <w:p>
      <w:r>
        <w:rPr>
          <w:rFonts w:hint="eastAsia"/>
        </w:rPr>
        <w:br w:type="page"/>
      </w:r>
    </w:p>
    <w:p>
      <w:pPr>
        <w:pStyle w:val="2"/>
        <w:ind w:firstLine="0" w:firstLineChars="0"/>
      </w:pPr>
      <w:r>
        <w:rPr>
          <w:rFonts w:hint="eastAsia"/>
        </w:rPr>
        <w:t>附件三、抽水泵二号</w:t>
      </w:r>
    </w:p>
    <w:tbl>
      <w:tblPr>
        <w:tblStyle w:val="17"/>
        <w:tblW w:w="13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82"/>
        <w:gridCol w:w="2418"/>
        <w:gridCol w:w="102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blHeader/>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b/>
                <w:bCs/>
                <w:kern w:val="58"/>
                <w:sz w:val="21"/>
                <w:szCs w:val="21"/>
              </w:rPr>
            </w:pPr>
            <w:r>
              <w:rPr>
                <w:rFonts w:hint="eastAsia"/>
                <w:b/>
                <w:bCs/>
                <w:kern w:val="58"/>
                <w:sz w:val="21"/>
                <w:szCs w:val="21"/>
              </w:rPr>
              <w:t>抽水泵二号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rFonts w:hint="eastAsia"/>
                <w:kern w:val="58"/>
                <w:sz w:val="21"/>
                <w:szCs w:val="21"/>
              </w:rPr>
              <w:t>1.抽水泵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pStyle w:val="45"/>
              <w:ind w:left="107"/>
              <w:jc w:val="center"/>
              <w:rPr>
                <w:kern w:val="58"/>
                <w:sz w:val="21"/>
                <w:szCs w:val="21"/>
              </w:rPr>
            </w:pPr>
            <w:r>
              <w:rPr>
                <w:kern w:val="58"/>
                <w:sz w:val="21"/>
                <w:szCs w:val="21"/>
              </w:rPr>
              <w:t>潜水电泵类型</w:t>
            </w:r>
          </w:p>
        </w:tc>
        <w:tc>
          <w:tcPr>
            <w:tcW w:w="10280" w:type="dxa"/>
            <w:tcBorders>
              <w:top w:val="single" w:color="000000" w:sz="8" w:space="0"/>
              <w:left w:val="single" w:color="000000" w:sz="8" w:space="0"/>
              <w:bottom w:val="single" w:color="000000" w:sz="8" w:space="0"/>
              <w:right w:val="single" w:color="000000" w:sz="8" w:space="0"/>
            </w:tcBorders>
            <w:vAlign w:val="center"/>
          </w:tcPr>
          <w:p>
            <w:pPr>
              <w:pStyle w:val="45"/>
              <w:ind w:left="107"/>
              <w:rPr>
                <w:kern w:val="58"/>
                <w:sz w:val="21"/>
                <w:szCs w:val="21"/>
              </w:rPr>
            </w:pPr>
            <w:r>
              <w:rPr>
                <w:rFonts w:hint="eastAsia"/>
                <w:kern w:val="58"/>
                <w:sz w:val="21"/>
                <w:szCs w:val="21"/>
              </w:rPr>
              <w:t>轻型潜水排污泵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restart"/>
            <w:tcBorders>
              <w:top w:val="single" w:color="000000" w:sz="8" w:space="0"/>
              <w:left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p>
            <w:pPr>
              <w:jc w:val="center"/>
              <w:rPr>
                <w:rFonts w:ascii="宋体" w:hAnsi="宋体"/>
                <w:kern w:val="58"/>
                <w:szCs w:val="21"/>
              </w:rPr>
            </w:pPr>
          </w:p>
        </w:tc>
        <w:tc>
          <w:tcPr>
            <w:tcW w:w="2418" w:type="dxa"/>
            <w:vMerge w:val="restart"/>
            <w:tcBorders>
              <w:top w:val="single" w:color="000000" w:sz="8" w:space="0"/>
              <w:left w:val="single" w:color="000000" w:sz="8" w:space="0"/>
              <w:right w:val="single" w:color="000000" w:sz="8" w:space="0"/>
            </w:tcBorders>
            <w:vAlign w:val="center"/>
          </w:tcPr>
          <w:p>
            <w:pPr>
              <w:pStyle w:val="45"/>
              <w:ind w:left="107"/>
              <w:jc w:val="center"/>
              <w:rPr>
                <w:kern w:val="58"/>
                <w:sz w:val="21"/>
                <w:szCs w:val="21"/>
              </w:rPr>
            </w:pPr>
            <w:r>
              <w:rPr>
                <w:kern w:val="58"/>
                <w:sz w:val="21"/>
                <w:szCs w:val="21"/>
              </w:rPr>
              <w:t>便携式</w:t>
            </w:r>
            <w:r>
              <w:rPr>
                <w:rFonts w:hint="eastAsia"/>
                <w:kern w:val="58"/>
                <w:sz w:val="21"/>
                <w:szCs w:val="21"/>
              </w:rPr>
              <w:t>超</w:t>
            </w:r>
            <w:r>
              <w:rPr>
                <w:kern w:val="58"/>
                <w:sz w:val="21"/>
                <w:szCs w:val="21"/>
              </w:rPr>
              <w:t>高扬程潜水电泵的性能参数</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单台泵功率≤</w:t>
            </w:r>
            <w:r>
              <w:rPr>
                <w:rFonts w:hint="eastAsia" w:ascii="宋体" w:hAnsi="宋体"/>
                <w:kern w:val="58"/>
                <w:szCs w:val="21"/>
              </w:rPr>
              <w:t>37kW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扬程</w:t>
            </w:r>
            <w:r>
              <w:rPr>
                <w:rFonts w:ascii="宋体" w:hAnsi="宋体"/>
                <w:kern w:val="58"/>
                <w:szCs w:val="21"/>
              </w:rPr>
              <w:t>≥</w:t>
            </w:r>
            <w:r>
              <w:rPr>
                <w:rFonts w:hint="eastAsia" w:ascii="宋体" w:hAnsi="宋体"/>
                <w:kern w:val="58"/>
                <w:szCs w:val="21"/>
              </w:rPr>
              <w:t>40</w:t>
            </w:r>
            <w:r>
              <w:rPr>
                <w:rFonts w:ascii="宋体" w:hAnsi="宋体"/>
                <w:kern w:val="58"/>
                <w:szCs w:val="21"/>
              </w:rPr>
              <w:t>米</w:t>
            </w:r>
            <w:r>
              <w:rPr>
                <w:rFonts w:hint="eastAsia" w:ascii="宋体" w:hAnsi="宋体"/>
                <w:kern w:val="58"/>
                <w:szCs w:val="21"/>
              </w:rPr>
              <w:t>时</w:t>
            </w:r>
            <w:r>
              <w:rPr>
                <w:rFonts w:ascii="宋体" w:hAnsi="宋体"/>
                <w:kern w:val="58"/>
                <w:szCs w:val="21"/>
              </w:rPr>
              <w:t>单台泵流量≥</w:t>
            </w:r>
            <w:r>
              <w:rPr>
                <w:rFonts w:hint="eastAsia" w:ascii="宋体" w:hAnsi="宋体"/>
                <w:kern w:val="58"/>
                <w:szCs w:val="21"/>
              </w:rPr>
              <w:t>200m³/h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tabs>
                <w:tab w:val="center" w:pos="2754"/>
              </w:tabs>
              <w:jc w:val="left"/>
              <w:rPr>
                <w:rFonts w:ascii="宋体" w:hAnsi="宋体"/>
                <w:kern w:val="58"/>
                <w:szCs w:val="21"/>
              </w:rPr>
            </w:pPr>
            <w:r>
              <w:rPr>
                <w:rFonts w:ascii="宋体" w:hAnsi="宋体"/>
                <w:kern w:val="58"/>
                <w:szCs w:val="21"/>
              </w:rPr>
              <w:t>泵</w:t>
            </w:r>
            <w:r>
              <w:rPr>
                <w:rFonts w:hint="eastAsia" w:ascii="宋体" w:hAnsi="宋体"/>
                <w:kern w:val="58"/>
                <w:szCs w:val="21"/>
              </w:rPr>
              <w:t>净重量</w:t>
            </w:r>
            <w:r>
              <w:rPr>
                <w:rFonts w:ascii="宋体" w:hAnsi="宋体"/>
                <w:kern w:val="58"/>
                <w:szCs w:val="21"/>
              </w:rPr>
              <w:t xml:space="preserve">≤ </w:t>
            </w:r>
            <w:r>
              <w:rPr>
                <w:rFonts w:hint="eastAsia" w:ascii="宋体" w:hAnsi="宋体"/>
                <w:kern w:val="58"/>
                <w:szCs w:val="21"/>
              </w:rPr>
              <w:t>50</w:t>
            </w:r>
            <w:r>
              <w:rPr>
                <w:rFonts w:ascii="宋体" w:hAnsi="宋体"/>
                <w:kern w:val="58"/>
                <w:szCs w:val="21"/>
              </w:rPr>
              <w:t xml:space="preserve"> </w:t>
            </w:r>
            <w:r>
              <w:rPr>
                <w:rFonts w:hint="eastAsia" w:ascii="宋体" w:hAnsi="宋体"/>
                <w:kern w:val="58"/>
                <w:szCs w:val="21"/>
              </w:rPr>
              <w:t>kg</w:t>
            </w:r>
            <w:r>
              <w:rPr>
                <w:rFonts w:hint="eastAsia" w:ascii="宋体" w:hAnsi="宋体"/>
                <w:kern w:val="58"/>
                <w:szCs w:val="21"/>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vMerge w:val="continue"/>
            <w:tcBorders>
              <w:left w:val="single" w:color="000000" w:sz="8" w:space="0"/>
              <w:bottom w:val="single" w:color="000000" w:sz="8" w:space="0"/>
              <w:right w:val="single" w:color="000000" w:sz="8" w:space="0"/>
            </w:tcBorders>
            <w:vAlign w:val="center"/>
          </w:tcPr>
          <w:p>
            <w:pPr>
              <w:jc w:val="center"/>
              <w:rPr>
                <w:rFonts w:ascii="宋体" w:hAnsi="宋体"/>
                <w:kern w:val="58"/>
                <w:szCs w:val="21"/>
              </w:rPr>
            </w:pPr>
          </w:p>
        </w:tc>
        <w:tc>
          <w:tcPr>
            <w:tcW w:w="2418" w:type="dxa"/>
            <w:vMerge w:val="continue"/>
            <w:tcBorders>
              <w:left w:val="single" w:color="000000" w:sz="8" w:space="0"/>
              <w:bottom w:val="single" w:color="000000" w:sz="8" w:space="0"/>
              <w:right w:val="single" w:color="000000" w:sz="8" w:space="0"/>
            </w:tcBorders>
            <w:vAlign w:val="center"/>
          </w:tcPr>
          <w:p>
            <w:pPr>
              <w:pStyle w:val="45"/>
              <w:ind w:left="107"/>
              <w:jc w:val="center"/>
              <w:rPr>
                <w:kern w:val="58"/>
                <w:sz w:val="21"/>
                <w:szCs w:val="21"/>
              </w:rPr>
            </w:pPr>
          </w:p>
        </w:tc>
        <w:tc>
          <w:tcPr>
            <w:tcW w:w="1028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kern w:val="58"/>
                <w:szCs w:val="21"/>
              </w:rPr>
            </w:pPr>
            <w:r>
              <w:rPr>
                <w:rFonts w:hint="eastAsia" w:ascii="宋体" w:hAnsi="宋体"/>
                <w:kern w:val="58"/>
                <w:szCs w:val="21"/>
              </w:rPr>
              <w:t>厂家需提供出厂报告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电压</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电压：380V</w:t>
            </w:r>
            <w:r>
              <w:rPr>
                <w:rFonts w:hint="eastAsia" w:ascii="宋体" w:hAnsi="宋体"/>
                <w:kern w:val="58"/>
                <w:szCs w:val="21"/>
              </w:rPr>
              <w:t xml:space="preserve"> </w:t>
            </w:r>
            <w:r>
              <w:rPr>
                <w:rFonts w:ascii="宋体" w:hAnsi="宋体"/>
                <w:kern w:val="58"/>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潜水电泵材质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水泵整体采用304不锈钢材质、包含泵壳、主轴、出水端口等。电机绕组及磁极除外。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滤网结构材质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滤网需采用紧密型 304 不锈钢滤网包裹电机结构，</w:t>
            </w:r>
          </w:p>
          <w:p>
            <w:pPr>
              <w:jc w:val="left"/>
              <w:rPr>
                <w:rFonts w:ascii="宋体" w:hAnsi="宋体"/>
                <w:kern w:val="58"/>
                <w:szCs w:val="21"/>
              </w:rPr>
            </w:pPr>
            <w:r>
              <w:rPr>
                <w:rFonts w:ascii="宋体" w:hAnsi="宋体"/>
                <w:kern w:val="58"/>
                <w:szCs w:val="21"/>
              </w:rPr>
              <w:t>防止操作不当摔裂。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（6）</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水泵转速</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 xml:space="preserve">≤ </w:t>
            </w:r>
            <w:r>
              <w:rPr>
                <w:rFonts w:hint="eastAsia" w:ascii="宋体" w:hAnsi="宋体"/>
                <w:kern w:val="58"/>
                <w:szCs w:val="21"/>
              </w:rPr>
              <w:t>3500</w:t>
            </w:r>
            <w:r>
              <w:rPr>
                <w:rFonts w:ascii="宋体" w:hAnsi="宋体"/>
                <w:kern w:val="58"/>
                <w:szCs w:val="21"/>
              </w:rPr>
              <w:t>转/ 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（7）</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泵体防护等级</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安全防护等级 IP 6</w:t>
            </w:r>
            <w:r>
              <w:rPr>
                <w:rFonts w:hint="eastAsia" w:ascii="宋体" w:hAnsi="宋体"/>
                <w:kern w:val="58"/>
                <w:szCs w:val="21"/>
              </w:rPr>
              <w:t>7</w:t>
            </w:r>
            <w:r>
              <w:rPr>
                <w:rFonts w:ascii="宋体" w:hAnsi="宋体"/>
                <w:kern w:val="58"/>
                <w:szCs w:val="21"/>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hint="eastAsia" w:ascii="宋体" w:hAnsi="宋体"/>
                <w:kern w:val="58"/>
                <w:szCs w:val="21"/>
              </w:rPr>
              <w:t>（8）</w:t>
            </w:r>
          </w:p>
        </w:tc>
        <w:tc>
          <w:tcPr>
            <w:tcW w:w="2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kern w:val="58"/>
                <w:szCs w:val="21"/>
              </w:rPr>
            </w:pPr>
            <w:r>
              <w:rPr>
                <w:rFonts w:ascii="宋体" w:hAnsi="宋体"/>
                <w:kern w:val="58"/>
                <w:szCs w:val="21"/>
              </w:rPr>
              <w:t>出水口及口径</w:t>
            </w:r>
          </w:p>
        </w:tc>
        <w:tc>
          <w:tcPr>
            <w:tcW w:w="102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ascii="宋体" w:hAnsi="宋体"/>
                <w:kern w:val="58"/>
                <w:szCs w:val="21"/>
              </w:rPr>
            </w:pPr>
            <w:r>
              <w:rPr>
                <w:rFonts w:ascii="宋体" w:hAnsi="宋体"/>
                <w:kern w:val="58"/>
                <w:szCs w:val="21"/>
              </w:rPr>
              <w:t>出水口径</w:t>
            </w:r>
            <w:r>
              <w:rPr>
                <w:rFonts w:hint="eastAsia" w:ascii="宋体" w:hAnsi="宋体"/>
                <w:kern w:val="58"/>
                <w:szCs w:val="21"/>
              </w:rPr>
              <w:t>200</w:t>
            </w:r>
            <w:r>
              <w:rPr>
                <w:rFonts w:ascii="宋体" w:hAnsi="宋体"/>
                <w:kern w:val="58"/>
                <w:szCs w:val="21"/>
              </w:rPr>
              <w:t xml:space="preserve"> mm（ </w:t>
            </w:r>
            <w:r>
              <w:rPr>
                <w:rFonts w:hint="eastAsia" w:ascii="宋体" w:hAnsi="宋体"/>
                <w:kern w:val="58"/>
                <w:szCs w:val="21"/>
              </w:rPr>
              <w:t>8</w:t>
            </w:r>
            <w:r>
              <w:rPr>
                <w:rFonts w:ascii="宋体" w:hAnsi="宋体"/>
                <w:kern w:val="58"/>
                <w:szCs w:val="21"/>
              </w:rPr>
              <w:t>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（9）</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泵头结构</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泵头采用目前通用的螺纹接口，与水带接口相匹配。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kern w:val="58"/>
                <w:szCs w:val="21"/>
                <w:highlight w:val="yellow"/>
              </w:rPr>
            </w:pPr>
            <w:r>
              <w:rPr>
                <w:rFonts w:hint="eastAsia" w:ascii="宋体" w:hAnsi="宋体"/>
                <w:kern w:val="58"/>
                <w:szCs w:val="21"/>
                <w:highlight w:val="yellow"/>
              </w:rPr>
              <w:t>（10）</w:t>
            </w:r>
          </w:p>
        </w:tc>
        <w:tc>
          <w:tcPr>
            <w:tcW w:w="241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kern w:val="58"/>
                <w:szCs w:val="21"/>
                <w:highlight w:val="yellow"/>
              </w:rPr>
            </w:pPr>
            <w:r>
              <w:rPr>
                <w:rFonts w:hint="eastAsia" w:ascii="宋体" w:hAnsi="宋体"/>
                <w:kern w:val="58"/>
                <w:szCs w:val="21"/>
                <w:highlight w:val="yellow"/>
              </w:rPr>
              <w:t>其他要求</w:t>
            </w:r>
          </w:p>
        </w:tc>
        <w:tc>
          <w:tcPr>
            <w:tcW w:w="102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ascii="宋体" w:hAnsi="宋体"/>
                <w:kern w:val="58"/>
                <w:szCs w:val="21"/>
                <w:highlight w:val="yellow"/>
              </w:rPr>
            </w:pPr>
            <w:r>
              <w:rPr>
                <w:rFonts w:hint="eastAsia" w:ascii="宋体" w:hAnsi="宋体"/>
                <w:kern w:val="58"/>
                <w:szCs w:val="21"/>
                <w:highlight w:val="yellow"/>
              </w:rPr>
              <w:t>投标产品需提供省级及以上非盈利性检测机构出具的检测报告，检测报告中需体现水泵在9类及以上不同流量扬程时水泵数据，需明确泵型号、扬程、功率、重量。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ind w:left="2179" w:right="2183"/>
              <w:jc w:val="center"/>
              <w:rPr>
                <w:kern w:val="58"/>
                <w:sz w:val="21"/>
                <w:szCs w:val="21"/>
              </w:rPr>
            </w:pPr>
            <w:r>
              <w:rPr>
                <w:rFonts w:hint="eastAsia"/>
                <w:kern w:val="58"/>
                <w:sz w:val="21"/>
                <w:szCs w:val="21"/>
              </w:rPr>
              <w:t>2.</w:t>
            </w:r>
            <w:r>
              <w:rPr>
                <w:kern w:val="58"/>
                <w:sz w:val="21"/>
                <w:szCs w:val="21"/>
              </w:rPr>
              <w:t xml:space="preserve"> 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YCW</w:t>
            </w:r>
            <w:r>
              <w:rPr>
                <w:rFonts w:ascii="宋体" w:hAnsi="宋体"/>
                <w:kern w:val="58"/>
                <w:szCs w:val="21"/>
              </w:rPr>
              <w:t>级潜水电缆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配套电缆数量</w:t>
            </w:r>
          </w:p>
          <w:p>
            <w:pPr>
              <w:jc w:val="center"/>
              <w:rPr>
                <w:rFonts w:ascii="宋体" w:hAnsi="宋体"/>
                <w:kern w:val="58"/>
                <w:szCs w:val="21"/>
              </w:rPr>
            </w:pPr>
            <w:r>
              <w:rPr>
                <w:rFonts w:ascii="宋体" w:hAnsi="宋体"/>
                <w:kern w:val="58"/>
                <w:szCs w:val="21"/>
              </w:rPr>
              <w:t>及要求</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水泵带40m电缆，配置2根40m长电缆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配套电缆接头防护等级</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潜水电泵自带电缆的自由端和延长电缆两端配备快速接头</w:t>
            </w:r>
            <w:r>
              <w:rPr>
                <w:rFonts w:hint="eastAsia" w:ascii="宋体" w:hAnsi="宋体"/>
                <w:kern w:val="58"/>
                <w:szCs w:val="21"/>
              </w:rPr>
              <w:t>,</w:t>
            </w:r>
            <w:r>
              <w:rPr>
                <w:rFonts w:ascii="宋体" w:hAnsi="宋体"/>
                <w:kern w:val="58"/>
                <w:szCs w:val="21"/>
              </w:rPr>
              <w:t>接头防水等级达到 IP67。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r>
              <w:rPr>
                <w:rFonts w:ascii="宋体" w:hAnsi="宋体"/>
                <w:kern w:val="58"/>
                <w:szCs w:val="21"/>
              </w:rPr>
              <w:t xml:space="preserve"> 排水管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hint="eastAsia" w:ascii="宋体" w:hAnsi="宋体"/>
                <w:kern w:val="58"/>
                <w:szCs w:val="21"/>
                <w:highlight w:val="yellow"/>
              </w:rPr>
              <w:t>（1）</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highlight w:val="yellow"/>
              </w:rPr>
            </w:pPr>
            <w:r>
              <w:rPr>
                <w:rFonts w:ascii="宋体" w:hAnsi="宋体"/>
                <w:kern w:val="58"/>
                <w:szCs w:val="21"/>
                <w:highlight w:val="yellow"/>
              </w:rPr>
              <w:t>排水管材质</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highlight w:val="yellow"/>
              </w:rPr>
            </w:pPr>
            <w:r>
              <w:rPr>
                <w:rFonts w:hint="eastAsia" w:ascii="宋体" w:hAnsi="宋体"/>
                <w:kern w:val="58"/>
                <w:szCs w:val="21"/>
                <w:highlight w:val="yellow"/>
              </w:rPr>
              <w:t>双面聚氨酯材料，水带工作压力≥16KG，爆破压力≥59KG、爆破后经线不断裂、水带延展率</w:t>
            </w:r>
            <w:r>
              <w:rPr>
                <w:rFonts w:hint="eastAsia" w:ascii="宋体" w:hAnsi="宋体" w:cs="宋体"/>
                <w:kern w:val="58"/>
                <w:szCs w:val="21"/>
                <w:highlight w:val="yellow"/>
              </w:rPr>
              <w:t>≦</w:t>
            </w:r>
            <w:r>
              <w:rPr>
                <w:rFonts w:hint="eastAsia" w:ascii="宋体" w:hAnsi="宋体"/>
                <w:kern w:val="58"/>
                <w:szCs w:val="21"/>
                <w:highlight w:val="yellow"/>
              </w:rPr>
              <w:t>9%、膨胀率</w:t>
            </w:r>
            <w:r>
              <w:rPr>
                <w:rFonts w:hint="eastAsia" w:ascii="宋体" w:hAnsi="宋体" w:cs="宋体"/>
                <w:kern w:val="58"/>
                <w:szCs w:val="21"/>
                <w:highlight w:val="yellow"/>
              </w:rPr>
              <w:t>≦</w:t>
            </w:r>
            <w:r>
              <w:rPr>
                <w:rFonts w:hint="eastAsia" w:ascii="宋体" w:hAnsi="宋体"/>
                <w:kern w:val="58"/>
                <w:szCs w:val="21"/>
                <w:highlight w:val="yellow"/>
              </w:rPr>
              <w:t>4.9%。每米重量</w:t>
            </w:r>
            <w:r>
              <w:rPr>
                <w:rFonts w:hint="eastAsia" w:ascii="宋体" w:hAnsi="宋体" w:cs="宋体"/>
                <w:kern w:val="58"/>
                <w:szCs w:val="21"/>
                <w:highlight w:val="yellow"/>
              </w:rPr>
              <w:t>≦</w:t>
            </w:r>
            <w:r>
              <w:rPr>
                <w:rFonts w:hint="eastAsia" w:ascii="宋体" w:hAnsi="宋体"/>
                <w:kern w:val="58"/>
                <w:szCs w:val="21"/>
                <w:highlight w:val="yellow"/>
              </w:rPr>
              <w:t>3.6kg，要求检测送样长度≥200m。水带上生产单位及规格标识清楚，水带颜色为红色。</w:t>
            </w:r>
          </w:p>
          <w:p>
            <w:pPr>
              <w:jc w:val="left"/>
              <w:rPr>
                <w:rFonts w:ascii="宋体" w:hAnsi="宋体"/>
                <w:kern w:val="58"/>
                <w:szCs w:val="21"/>
                <w:highlight w:val="yellow"/>
              </w:rPr>
            </w:pPr>
            <w:r>
              <w:rPr>
                <w:rFonts w:hint="eastAsia" w:ascii="宋体" w:hAnsi="宋体"/>
                <w:kern w:val="58"/>
                <w:szCs w:val="21"/>
                <w:highlight w:val="yellow"/>
              </w:rPr>
              <w:t>要求出具国家消防装备质量监督检验中心的检测报告。</w:t>
            </w:r>
          </w:p>
          <w:p>
            <w:pPr>
              <w:jc w:val="left"/>
              <w:rPr>
                <w:rFonts w:ascii="宋体" w:hAnsi="宋体"/>
                <w:kern w:val="58"/>
                <w:szCs w:val="21"/>
                <w:highlight w:val="yellow"/>
              </w:rPr>
            </w:pPr>
            <w:r>
              <w:rPr>
                <w:rFonts w:hint="eastAsia" w:ascii="宋体" w:hAnsi="宋体"/>
                <w:kern w:val="58"/>
                <w:szCs w:val="21"/>
                <w:highlight w:val="yellow"/>
              </w:rPr>
              <w:t>检测报告中需体现技术要求中的数据及水带内部附着强度。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（2）</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排水管配置</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ascii="宋体" w:hAnsi="宋体"/>
                <w:kern w:val="58"/>
                <w:szCs w:val="21"/>
              </w:rPr>
              <w:t>排水管</w:t>
            </w:r>
            <w:r>
              <w:rPr>
                <w:rFonts w:hint="eastAsia" w:ascii="宋体" w:hAnsi="宋体"/>
                <w:kern w:val="58"/>
                <w:szCs w:val="21"/>
              </w:rPr>
              <w:t>管径DN200mm,</w:t>
            </w:r>
            <w:r>
              <w:rPr>
                <w:rFonts w:ascii="宋体" w:hAnsi="宋体"/>
                <w:kern w:val="58"/>
                <w:szCs w:val="21"/>
              </w:rPr>
              <w:t>总长度</w:t>
            </w:r>
            <w:r>
              <w:rPr>
                <w:rFonts w:hint="eastAsia" w:ascii="宋体" w:hAnsi="宋体"/>
                <w:kern w:val="58"/>
                <w:szCs w:val="21"/>
              </w:rPr>
              <w:t>100米。配置配套浮圈。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2"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（3）</w:t>
            </w:r>
          </w:p>
        </w:tc>
        <w:tc>
          <w:tcPr>
            <w:tcW w:w="2418"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ascii="宋体" w:hAnsi="宋体"/>
                <w:kern w:val="58"/>
                <w:szCs w:val="21"/>
              </w:rPr>
              <w:t>水泵出水管接头</w:t>
            </w:r>
          </w:p>
        </w:tc>
        <w:tc>
          <w:tcPr>
            <w:tcW w:w="10280" w:type="dxa"/>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kern w:val="58"/>
                <w:szCs w:val="21"/>
              </w:rPr>
            </w:pPr>
            <w:r>
              <w:rPr>
                <w:rFonts w:hint="eastAsia" w:ascii="宋体" w:hAnsi="宋体"/>
                <w:kern w:val="58"/>
                <w:szCs w:val="21"/>
              </w:rPr>
              <w:t>配备快速接头数量总计10套，均采用大口径自锁式铝合金材质接口</w:t>
            </w:r>
            <w:r>
              <w:rPr>
                <w:rFonts w:ascii="宋体" w:hAnsi="宋体"/>
                <w:kern w:val="58"/>
                <w:szCs w:val="21"/>
              </w:rPr>
              <w:t>，</w:t>
            </w:r>
            <w:r>
              <w:rPr>
                <w:rFonts w:hint="eastAsia" w:ascii="宋体" w:hAnsi="宋体"/>
                <w:kern w:val="58"/>
                <w:szCs w:val="21"/>
              </w:rPr>
              <w:t>带两道卡箍（提供实物图片）。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4.</w:t>
            </w:r>
            <w:r>
              <w:rPr>
                <w:rFonts w:ascii="宋体" w:hAnsi="宋体"/>
                <w:kern w:val="58"/>
                <w:szCs w:val="21"/>
              </w:rPr>
              <w:t xml:space="preserve"> 水泵控制系统技术要求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pStyle w:val="45"/>
              <w:tabs>
                <w:tab w:val="left" w:pos="357"/>
              </w:tabs>
              <w:ind w:left="107" w:right="92"/>
              <w:jc w:val="left"/>
              <w:rPr>
                <w:kern w:val="58"/>
                <w:sz w:val="21"/>
                <w:szCs w:val="21"/>
              </w:rPr>
            </w:pPr>
            <w:r>
              <w:rPr>
                <w:kern w:val="58"/>
                <w:sz w:val="21"/>
                <w:szCs w:val="21"/>
              </w:rPr>
              <w:t>带有漏电、电流过载、缺相、过压、欠压、过频、欠频、电机过热等显示功能，并具有相应的安全保护措施；控制系统采用变频器控制</w:t>
            </w:r>
            <w:r>
              <w:rPr>
                <w:rFonts w:hint="eastAsia"/>
                <w:kern w:val="58"/>
                <w:sz w:val="21"/>
                <w:szCs w:val="21"/>
              </w:rPr>
              <w:t>，</w:t>
            </w:r>
            <w:r>
              <w:rPr>
                <w:kern w:val="58"/>
                <w:sz w:val="21"/>
                <w:szCs w:val="21"/>
              </w:rPr>
              <w:t>水泵电机转速可调。控制系统可以从移动柜上拆卸，并可离发电机50米内正常工作</w:t>
            </w:r>
            <w:r>
              <w:rPr>
                <w:rFonts w:hint="eastAsia"/>
                <w:kern w:val="58"/>
                <w:sz w:val="21"/>
                <w:szCs w:val="21"/>
              </w:rPr>
              <w:t>，</w:t>
            </w:r>
            <w:r>
              <w:rPr>
                <w:kern w:val="58"/>
                <w:sz w:val="21"/>
                <w:szCs w:val="21"/>
              </w:rPr>
              <w:t>以实现远距离操作。拆卸后，控制系统和水泵也可以使用市电(380V)供电工作。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kern w:val="58"/>
                <w:szCs w:val="21"/>
              </w:rPr>
            </w:pPr>
            <w:r>
              <w:rPr>
                <w:rFonts w:hint="eastAsia" w:ascii="宋体" w:hAnsi="宋体"/>
                <w:kern w:val="58"/>
                <w:szCs w:val="21"/>
              </w:rPr>
              <w:t>5.</w:t>
            </w:r>
            <w:r>
              <w:rPr>
                <w:rFonts w:ascii="宋体" w:hAnsi="宋体"/>
                <w:kern w:val="58"/>
                <w:szCs w:val="21"/>
              </w:rPr>
              <w:t xml:space="preserve"> 设备其它技术要求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vAlign w:val="center"/>
          </w:tcPr>
          <w:p>
            <w:pPr>
              <w:pStyle w:val="45"/>
              <w:tabs>
                <w:tab w:val="left" w:pos="357"/>
              </w:tabs>
              <w:ind w:left="106"/>
              <w:rPr>
                <w:kern w:val="58"/>
                <w:sz w:val="21"/>
                <w:szCs w:val="21"/>
              </w:rPr>
            </w:pPr>
            <w:r>
              <w:rPr>
                <w:kern w:val="58"/>
                <w:sz w:val="21"/>
                <w:szCs w:val="21"/>
              </w:rPr>
              <w:t>设备通电后可实现自检功能：水泵通电的情况下具备故障自动检测功能。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3780" w:type="dxa"/>
            <w:gridSpan w:val="3"/>
            <w:vAlign w:val="center"/>
          </w:tcPr>
          <w:p>
            <w:pPr>
              <w:pStyle w:val="45"/>
              <w:tabs>
                <w:tab w:val="left" w:pos="357"/>
              </w:tabs>
              <w:ind w:left="106"/>
              <w:rPr>
                <w:kern w:val="58"/>
                <w:sz w:val="21"/>
                <w:szCs w:val="21"/>
              </w:rPr>
            </w:pPr>
            <w:r>
              <w:rPr>
                <w:kern w:val="58"/>
                <w:sz w:val="21"/>
                <w:szCs w:val="21"/>
              </w:rPr>
              <w:t>控制系统可实现水泵脱水高温自动保护停机功能：水泵脱水时，为防止高温损坏，控制系统自动停机。</w:t>
            </w:r>
          </w:p>
        </w:tc>
      </w:tr>
    </w:tbl>
    <w:p>
      <w:pPr>
        <w:pStyle w:val="2"/>
        <w:ind w:firstLine="0" w:firstLineChars="0"/>
      </w:pPr>
      <w:r>
        <w:rPr>
          <w:rFonts w:hint="eastAsia"/>
        </w:rPr>
        <w:br w:type="page"/>
      </w:r>
    </w:p>
    <w:p>
      <w:pPr>
        <w:pStyle w:val="2"/>
        <w:ind w:firstLine="0" w:firstLineChars="0"/>
        <w:sectPr>
          <w:pgSz w:w="16840" w:h="11907" w:orient="landscape"/>
          <w:pgMar w:top="1474" w:right="1134" w:bottom="1191" w:left="1304" w:header="680" w:footer="680" w:gutter="0"/>
          <w:pgNumType w:fmt="numberInDash"/>
          <w:cols w:space="720" w:num="1"/>
          <w:titlePg/>
          <w:docGrid w:type="lines" w:linePitch="312" w:charSpace="0"/>
        </w:sectPr>
      </w:pP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第六章 响应文件格式</w:t>
      </w:r>
    </w:p>
    <w:p>
      <w:pPr>
        <w:adjustRightInd w:val="0"/>
        <w:snapToGrid w:val="0"/>
        <w:rPr>
          <w:rFonts w:ascii="仿宋_GB2312" w:hAnsi="仿宋_GB2312" w:eastAsia="仿宋_GB2312" w:cs="仿宋_GB2312"/>
          <w:b/>
          <w:sz w:val="24"/>
        </w:rPr>
      </w:pPr>
      <w:r>
        <w:rPr>
          <w:rFonts w:hint="eastAsia" w:ascii="仿宋" w:hAnsi="仿宋" w:eastAsia="仿宋"/>
          <w:sz w:val="24"/>
        </w:rPr>
        <w:t xml:space="preserve">格式1 </w:t>
      </w:r>
      <w:r>
        <w:rPr>
          <w:rFonts w:hint="eastAsia" w:ascii="仿宋_GB2312" w:hAnsi="仿宋_GB2312" w:eastAsia="仿宋_GB2312" w:cs="仿宋_GB2312"/>
          <w:snapToGrid w:val="0"/>
          <w:kern w:val="0"/>
        </w:rPr>
        <w:t xml:space="preserve">  </w:t>
      </w:r>
      <w:r>
        <w:rPr>
          <w:rFonts w:hint="eastAsia" w:ascii="仿宋_GB2312" w:hAnsi="仿宋_GB2312" w:eastAsia="仿宋_GB2312" w:cs="仿宋_GB2312"/>
          <w:b/>
          <w:sz w:val="24"/>
        </w:rPr>
        <w:t>报价表</w:t>
      </w:r>
    </w:p>
    <w:p>
      <w:p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报价说明：</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此表不得自行增减内容，不提供此表格将被视为没有实质性响应采购文件。</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sz w:val="24"/>
        </w:rPr>
        <w:t>响应供应商在响应文件报价表中填报的价格应是完成项目的一切费用。如果响应供应商认为为圆满完成本项目还有其他需要计费的配合工作，均被认为已经包含在报价中。</w:t>
      </w:r>
    </w:p>
    <w:p>
      <w:pPr>
        <w:numPr>
          <w:ilvl w:val="0"/>
          <w:numId w:val="6"/>
        </w:numPr>
        <w:adjustRightInd w:val="0"/>
        <w:snapToGrid w:val="0"/>
        <w:spacing w:line="480" w:lineRule="atLeast"/>
        <w:rPr>
          <w:rFonts w:ascii="仿宋_GB2312" w:hAnsi="仿宋_GB2312" w:eastAsia="仿宋_GB2312" w:cs="仿宋_GB2312"/>
          <w:sz w:val="24"/>
        </w:rPr>
      </w:pPr>
      <w:r>
        <w:rPr>
          <w:rFonts w:hint="eastAsia" w:ascii="仿宋_GB2312" w:hAnsi="仿宋_GB2312" w:eastAsia="仿宋_GB2312" w:cs="仿宋_GB2312"/>
          <w:b/>
          <w:szCs w:val="21"/>
        </w:rPr>
        <w:t>本项目开具发票须为增值税专用发票，报价时必须填写“增值税专用发票税率”。</w:t>
      </w:r>
    </w:p>
    <w:p>
      <w:pPr>
        <w:pStyle w:val="2"/>
        <w:ind w:firstLine="210"/>
      </w:pPr>
    </w:p>
    <w:p>
      <w:pPr>
        <w:adjustRightInd w:val="0"/>
        <w:snapToGrid w:val="0"/>
        <w:jc w:val="center"/>
        <w:rPr>
          <w:rFonts w:ascii="仿宋_GB2312" w:hAnsi="仿宋_GB2312" w:eastAsia="仿宋_GB2312" w:cs="仿宋_GB2312"/>
          <w:b/>
          <w:sz w:val="24"/>
          <w:lang w:val="zh-CN"/>
        </w:rPr>
      </w:pPr>
      <w:r>
        <w:rPr>
          <w:rFonts w:hint="eastAsia" w:ascii="仿宋_GB2312" w:hAnsi="仿宋_GB2312" w:eastAsia="仿宋_GB2312" w:cs="仿宋_GB2312"/>
          <w:b/>
          <w:sz w:val="24"/>
          <w:lang w:val="zh-CN"/>
        </w:rPr>
        <w:t>报价一览表</w:t>
      </w:r>
    </w:p>
    <w:p>
      <w:pPr>
        <w:adjustRightInd w:val="0"/>
        <w:snapToGrid w:val="0"/>
        <w:ind w:firstLine="2620" w:firstLineChars="1450"/>
        <w:jc w:val="right"/>
        <w:rPr>
          <w:rFonts w:ascii="仿宋_GB2312" w:hAnsi="仿宋_GB2312" w:eastAsia="仿宋_GB2312" w:cs="仿宋_GB2312"/>
          <w:kern w:val="0"/>
          <w:sz w:val="18"/>
          <w:szCs w:val="18"/>
        </w:rPr>
      </w:pPr>
      <w:r>
        <w:rPr>
          <w:rFonts w:hint="eastAsia" w:ascii="仿宋_GB2312" w:hAnsi="仿宋_GB2312" w:eastAsia="仿宋_GB2312" w:cs="仿宋_GB2312"/>
          <w:b/>
          <w:bCs/>
          <w:kern w:val="0"/>
          <w:sz w:val="18"/>
          <w:szCs w:val="18"/>
        </w:rPr>
        <w:t xml:space="preserve">                      </w:t>
      </w:r>
      <w:r>
        <w:rPr>
          <w:rFonts w:hint="eastAsia" w:ascii="仿宋_GB2312" w:hAnsi="仿宋_GB2312" w:eastAsia="仿宋_GB2312" w:cs="仿宋_GB2312"/>
          <w:kern w:val="0"/>
          <w:sz w:val="18"/>
          <w:szCs w:val="18"/>
        </w:rPr>
        <w:t xml:space="preserve">             （价格单位：人民币 元）</w:t>
      </w:r>
    </w:p>
    <w:tbl>
      <w:tblPr>
        <w:tblStyle w:val="17"/>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77"/>
        <w:gridCol w:w="1418"/>
        <w:gridCol w:w="978"/>
        <w:gridCol w:w="1895"/>
        <w:gridCol w:w="1195"/>
        <w:gridCol w:w="859"/>
        <w:gridCol w:w="817"/>
        <w:gridCol w:w="957"/>
        <w:gridCol w:w="57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序号</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名称</w:t>
            </w:r>
          </w:p>
        </w:tc>
        <w:tc>
          <w:tcPr>
            <w:tcW w:w="2396" w:type="dxa"/>
            <w:gridSpan w:val="2"/>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规格/参数</w:t>
            </w:r>
          </w:p>
        </w:tc>
        <w:tc>
          <w:tcPr>
            <w:tcW w:w="3090" w:type="dxa"/>
            <w:gridSpan w:val="2"/>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其他特征参数</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w:t>
            </w:r>
          </w:p>
        </w:tc>
        <w:tc>
          <w:tcPr>
            <w:tcW w:w="81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不含税单价</w:t>
            </w:r>
          </w:p>
        </w:tc>
        <w:tc>
          <w:tcPr>
            <w:tcW w:w="95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不含税</w:t>
            </w:r>
            <w:r>
              <w:rPr>
                <w:rFonts w:hint="eastAsia" w:ascii="仿宋_GB2312" w:hAnsi="仿宋_GB2312" w:eastAsia="仿宋_GB2312" w:cs="仿宋_GB2312"/>
                <w:color w:val="000000"/>
                <w:kern w:val="0"/>
                <w:sz w:val="18"/>
                <w:szCs w:val="18"/>
                <w:lang w:val="en-US" w:eastAsia="zh-CN" w:bidi="ar"/>
              </w:rPr>
              <w:t>合计</w:t>
            </w:r>
          </w:p>
        </w:tc>
        <w:tc>
          <w:tcPr>
            <w:tcW w:w="571"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税率</w:t>
            </w:r>
          </w:p>
        </w:tc>
        <w:tc>
          <w:tcPr>
            <w:tcW w:w="712"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潜水式排污泵</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50WQ15-15-1.5手提式，配齐管口卡扣，配带耦合装置</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restart"/>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接到买方通知后，30天内完成该批供货</w:t>
            </w:r>
            <w:r>
              <w:rPr>
                <w:rFonts w:hint="eastAsia" w:ascii="仿宋_GB2312" w:hAnsi="仿宋_GB2312" w:eastAsia="仿宋_GB2312" w:cs="仿宋_GB2312"/>
                <w:color w:val="000000"/>
                <w:kern w:val="0"/>
                <w:sz w:val="18"/>
                <w:szCs w:val="18"/>
                <w:lang w:eastAsia="zh-CN" w:bidi="ar"/>
              </w:rPr>
              <w:t>，</w:t>
            </w:r>
            <w:r>
              <w:rPr>
                <w:rFonts w:hint="eastAsia" w:ascii="仿宋_GB2312" w:hAnsi="仿宋_GB2312" w:eastAsia="仿宋_GB2312" w:cs="仿宋_GB2312"/>
                <w:color w:val="000000"/>
                <w:kern w:val="0"/>
                <w:sz w:val="18"/>
                <w:szCs w:val="18"/>
                <w:lang w:bidi="ar"/>
              </w:rPr>
              <w:t>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抽水泵一号</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单台泵≤30kw，泵净重量≤45kg,扬程≥30m时单台泵流量≥200m³/h，材质：304不锈钢，转速≤ 3500 转/ 分钟，防护等级：IP67，出水口径：150mm，防护等级：IP67，螺纹接口</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mYCW级潜水电缆，配置2根40m长电缆，控制系统采用变频器控制，可拆卸，排水管：双面聚氨酯材料，工作压力≥16KG。管径DN150mm，总长度100米。配置配套浮圈。配备快速接头数量总计10套，均采用大口径自锁式铝合金材质接口,带两道卡箍。</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抽水泵二号</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功率≤37kW，扬程≥40米，流量≥200m³/h，净重量≤ 50 kg，电压：380V ，材质304不锈钢，转速≤ 3500转/ 分钟，防护等级 IP 67以上，出水口径200 mm，螺纹接口</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mYCW级潜水电缆，配置2根40m长电缆，控制系统采用变频器控制，可拆卸，排水管：双面聚氨酯材料，工作压力≥16KG。管径DN200mm，总长度100米。配置配套浮圈。配备快速接头数量总计10套，均采用大口径自锁式铝合金材质接口,带两道卡箍。</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静音平板手推车</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载重&gt;300kg</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把手可折叠，材质：铝合金，车板材质：高强度塑料，聚氨酯脚轮2个固定轮，2个万向轮，尺寸约为900*600mm</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普通平板手推车</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承重300kg，加厚不锈钢</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1.把手高度约860mm左右，把手可折叠；2.车板材质：加厚不锈钢，结实耐用；3.配置4个实心聚氨酯脚轮，2个固定轮，2个万向轮；4.车板长*宽：约700*1000mm；</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活动扳手</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15寸375mm，最大开口45mm</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工业吸尘器</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空气性能：60升/秒，真空：210hpa(mbar)，额定输入功率：1100瓦，容量：30升，吸尘软管：直径48毫米、电源线长度5.5米、重量10.5千克，标准配置：2.5米长吸尘软管</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静音平板手推车</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载重&gt;300kg</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把手可折叠，材质：铝合金，车板材质：高强度塑料，聚氨酯脚轮2个固定轮，2个万向轮，尺寸约为900*600mm</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578"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多功能强光巡检电筒</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额定电压：3.7V 额定容量：≥2Ah 额定功率：3/1W 连续放电时间：工作光：≥16h，强光：≥8h 充电时间：≤6h 超高亮度优质LED光源，平均使用寿命≥10万小时； 电池使用寿命：约1000次循环 优质抗冲击合金材料外壳，防护等级：≥IP66</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22</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78" w:type="dxa"/>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10</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蓝牙音箱</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喇叭尺寸6.5英寸，黑色，USB+3.5毫米音频接口；双声道</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包含遥控器、背带；播放时间≥15小时；立体环绕音效；配有8G优盘；配有电源适配器。</w:t>
            </w: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5</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11</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四层储物货架</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L1500*W600*H2000mm，层载250kg</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8</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12</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弯头镊子</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长170mm，防滑</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18</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578" w:type="dxa"/>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13</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手持式喊话器</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黑色，配两块锂电池，录音时长480秒,支持USB和TF卡,单块电池使用时间≥20小时。</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20</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78" w:type="dxa"/>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14</w:t>
            </w:r>
          </w:p>
        </w:tc>
        <w:tc>
          <w:tcPr>
            <w:tcW w:w="877"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道岔钩锁器</w:t>
            </w:r>
          </w:p>
        </w:tc>
        <w:tc>
          <w:tcPr>
            <w:tcW w:w="2396"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P50，带钥匙2把，铜锁1把，扳手1把</w:t>
            </w:r>
          </w:p>
        </w:tc>
        <w:tc>
          <w:tcPr>
            <w:tcW w:w="3090" w:type="dxa"/>
            <w:gridSpan w:val="2"/>
            <w:vAlign w:val="center"/>
          </w:tcPr>
          <w:p>
            <w:pPr>
              <w:widowControl/>
              <w:jc w:val="left"/>
              <w:textAlignment w:val="center"/>
              <w:rPr>
                <w:rFonts w:hint="eastAsia" w:ascii="仿宋_GB2312" w:hAnsi="仿宋_GB2312" w:eastAsia="仿宋_GB2312" w:cs="仿宋_GB2312"/>
                <w:color w:val="000000"/>
                <w:kern w:val="0"/>
                <w:sz w:val="18"/>
                <w:szCs w:val="18"/>
                <w:lang w:val="en-US" w:eastAsia="zh-CN" w:bidi="ar"/>
              </w:rPr>
            </w:pPr>
          </w:p>
        </w:tc>
        <w:tc>
          <w:tcPr>
            <w:tcW w:w="859" w:type="dxa"/>
            <w:vAlign w:val="center"/>
          </w:tcPr>
          <w:p>
            <w:pPr>
              <w:widowControl/>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10</w:t>
            </w:r>
          </w:p>
        </w:tc>
        <w:tc>
          <w:tcPr>
            <w:tcW w:w="81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957"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571" w:type="dxa"/>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c>
          <w:tcPr>
            <w:tcW w:w="712" w:type="dxa"/>
            <w:vMerge w:val="continue"/>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73" w:type="dxa"/>
            <w:gridSpan w:val="3"/>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不含税总价（小写）</w:t>
            </w:r>
          </w:p>
        </w:tc>
        <w:tc>
          <w:tcPr>
            <w:tcW w:w="2873" w:type="dxa"/>
            <w:gridSpan w:val="2"/>
            <w:vAlign w:val="center"/>
          </w:tcPr>
          <w:p>
            <w:pPr>
              <w:widowControl/>
              <w:jc w:val="center"/>
              <w:textAlignment w:val="center"/>
              <w:rPr>
                <w:rFonts w:hint="eastAsia" w:ascii="仿宋_GB2312" w:hAnsi="仿宋_GB2312" w:eastAsia="仿宋_GB2312" w:cs="仿宋_GB2312"/>
                <w:color w:val="000000"/>
                <w:kern w:val="0"/>
                <w:sz w:val="18"/>
                <w:szCs w:val="18"/>
                <w:lang w:bidi="ar"/>
              </w:rPr>
            </w:pPr>
          </w:p>
        </w:tc>
        <w:tc>
          <w:tcPr>
            <w:tcW w:w="2871" w:type="dxa"/>
            <w:gridSpan w:val="3"/>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不含税总价（大写）</w:t>
            </w:r>
          </w:p>
        </w:tc>
        <w:tc>
          <w:tcPr>
            <w:tcW w:w="2240" w:type="dxa"/>
            <w:gridSpan w:val="3"/>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873" w:type="dxa"/>
            <w:gridSpan w:val="3"/>
            <w:vAlign w:val="center"/>
          </w:tcPr>
          <w:p>
            <w:pPr>
              <w:widowControl/>
              <w:jc w:val="center"/>
              <w:textAlignment w:val="center"/>
              <w:rPr>
                <w:rFonts w:hint="default"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含税总价（小写）</w:t>
            </w:r>
          </w:p>
        </w:tc>
        <w:tc>
          <w:tcPr>
            <w:tcW w:w="2873" w:type="dxa"/>
            <w:gridSpan w:val="2"/>
            <w:vAlign w:val="center"/>
          </w:tcPr>
          <w:p>
            <w:pPr>
              <w:widowControl/>
              <w:jc w:val="center"/>
              <w:textAlignment w:val="center"/>
              <w:rPr>
                <w:rFonts w:hint="eastAsia" w:ascii="仿宋_GB2312" w:hAnsi="仿宋_GB2312" w:eastAsia="仿宋_GB2312" w:cs="仿宋_GB2312"/>
                <w:color w:val="000000"/>
                <w:kern w:val="0"/>
                <w:sz w:val="18"/>
                <w:szCs w:val="18"/>
                <w:lang w:bidi="ar"/>
              </w:rPr>
            </w:pPr>
          </w:p>
        </w:tc>
        <w:tc>
          <w:tcPr>
            <w:tcW w:w="2871" w:type="dxa"/>
            <w:gridSpan w:val="3"/>
            <w:vAlign w:val="center"/>
          </w:tcPr>
          <w:p>
            <w:pPr>
              <w:widowControl/>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含税总价（大写）</w:t>
            </w:r>
          </w:p>
        </w:tc>
        <w:tc>
          <w:tcPr>
            <w:tcW w:w="2240" w:type="dxa"/>
            <w:gridSpan w:val="3"/>
            <w:vAlign w:val="center"/>
          </w:tcPr>
          <w:p>
            <w:pPr>
              <w:widowControl/>
              <w:jc w:val="left"/>
              <w:textAlignment w:val="center"/>
              <w:rPr>
                <w:rFonts w:hint="eastAsia" w:ascii="仿宋_GB2312" w:hAnsi="仿宋_GB2312" w:eastAsia="仿宋_GB2312" w:cs="仿宋_GB2312"/>
                <w:color w:val="000000"/>
                <w:kern w:val="0"/>
                <w:sz w:val="18"/>
                <w:szCs w:val="18"/>
                <w:lang w:bidi="ar"/>
              </w:rPr>
            </w:pPr>
          </w:p>
        </w:tc>
      </w:tr>
    </w:tbl>
    <w:p>
      <w:pPr>
        <w:ind w:right="-11"/>
        <w:jc w:val="left"/>
        <w:rPr>
          <w:rFonts w:ascii="仿宋_GB2312" w:hAnsi="仿宋_GB2312" w:eastAsia="仿宋_GB2312" w:cs="仿宋_GB2312"/>
          <w:szCs w:val="21"/>
        </w:rPr>
      </w:pPr>
    </w:p>
    <w:p>
      <w:pPr>
        <w:spacing w:line="360" w:lineRule="auto"/>
        <w:ind w:right="-11"/>
        <w:rPr>
          <w:rFonts w:ascii="仿宋_GB2312" w:hAnsi="仿宋_GB2312" w:eastAsia="仿宋_GB2312" w:cs="仿宋_GB2312"/>
          <w:szCs w:val="21"/>
        </w:rPr>
      </w:pPr>
      <w:r>
        <w:rPr>
          <w:rFonts w:hint="eastAsia" w:ascii="仿宋_GB2312" w:hAnsi="仿宋_GB2312" w:eastAsia="仿宋_GB2312" w:cs="仿宋_GB2312"/>
          <w:szCs w:val="21"/>
        </w:rPr>
        <w:t>法定代表人或授权代表（签字或盖章）：</w:t>
      </w:r>
    </w:p>
    <w:p>
      <w:pPr>
        <w:adjustRightInd w:val="0"/>
        <w:snapToGrid w:val="0"/>
        <w:rPr>
          <w:rFonts w:ascii="仿宋" w:hAnsi="仿宋" w:eastAsia="仿宋"/>
          <w:sz w:val="24"/>
        </w:rPr>
        <w:sectPr>
          <w:pgSz w:w="11907" w:h="16840"/>
          <w:pgMar w:top="1134" w:right="1191" w:bottom="1304" w:left="1474" w:header="680" w:footer="680" w:gutter="0"/>
          <w:pgNumType w:fmt="numberInDash"/>
          <w:cols w:space="720" w:num="1"/>
          <w:titlePg/>
          <w:docGrid w:type="lines" w:linePitch="312" w:charSpace="0"/>
        </w:sectPr>
      </w:pPr>
      <w:r>
        <w:rPr>
          <w:rFonts w:hint="eastAsia" w:ascii="仿宋_GB2312" w:hAnsi="仿宋_GB2312" w:eastAsia="仿宋_GB2312" w:cs="仿宋_GB2312"/>
          <w:szCs w:val="21"/>
        </w:rPr>
        <w:t>日期：</w:t>
      </w:r>
    </w:p>
    <w:p>
      <w:pPr>
        <w:adjustRightInd w:val="0"/>
        <w:snapToGrid w:val="0"/>
        <w:rPr>
          <w:rFonts w:ascii="仿宋_GB2312" w:hAnsi="仿宋_GB2312" w:eastAsia="仿宋_GB2312" w:cs="仿宋_GB2312"/>
          <w:b/>
          <w:snapToGrid w:val="0"/>
          <w:kern w:val="0"/>
          <w:sz w:val="24"/>
        </w:rPr>
      </w:pPr>
      <w:r>
        <w:rPr>
          <w:rFonts w:hint="eastAsia" w:ascii="仿宋" w:hAnsi="仿宋" w:eastAsia="仿宋"/>
          <w:sz w:val="24"/>
        </w:rPr>
        <w:t>格式</w:t>
      </w:r>
      <w:bookmarkStart w:id="0" w:name="_Toc2782574"/>
      <w:r>
        <w:rPr>
          <w:rFonts w:hint="eastAsia" w:ascii="仿宋" w:hAnsi="仿宋" w:eastAsia="仿宋"/>
          <w:sz w:val="24"/>
        </w:rPr>
        <w:t xml:space="preserve">2 </w:t>
      </w:r>
      <w:r>
        <w:rPr>
          <w:rFonts w:hAnsi="宋体" w:cs="Arial"/>
          <w:b/>
          <w:snapToGrid w:val="0"/>
          <w:kern w:val="0"/>
        </w:rPr>
        <w:t xml:space="preserve">          </w:t>
      </w:r>
      <w:r>
        <w:rPr>
          <w:rFonts w:hint="eastAsia" w:ascii="仿宋_GB2312" w:hAnsi="仿宋_GB2312" w:eastAsia="仿宋_GB2312" w:cs="仿宋_GB2312"/>
          <w:b/>
          <w:snapToGrid w:val="0"/>
          <w:kern w:val="0"/>
          <w:sz w:val="24"/>
        </w:rPr>
        <w:t xml:space="preserve">      </w:t>
      </w:r>
    </w:p>
    <w:p>
      <w:pPr>
        <w:adjustRightInd w:val="0"/>
        <w:snapToGrid w:val="0"/>
        <w:jc w:val="center"/>
        <w:rPr>
          <w:rFonts w:ascii="仿宋_GB2312" w:hAnsi="仿宋_GB2312" w:eastAsia="仿宋_GB2312" w:cs="仿宋_GB2312"/>
          <w:sz w:val="24"/>
        </w:rPr>
      </w:pPr>
      <w:r>
        <w:rPr>
          <w:rFonts w:ascii="仿宋" w:hAnsi="仿宋" w:eastAsia="仿宋"/>
          <w:b/>
          <w:sz w:val="32"/>
        </w:rPr>
        <w:t>法定代表人（单位负责人）身份证明</w:t>
      </w:r>
      <w:bookmarkEnd w:id="0"/>
    </w:p>
    <w:p>
      <w:pPr>
        <w:spacing w:line="433" w:lineRule="auto"/>
        <w:ind w:right="9290"/>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u w:val="single"/>
        </w:rPr>
      </w:pPr>
      <w:r>
        <w:rPr>
          <w:rFonts w:hint="eastAsia" w:ascii="仿宋_GB2312" w:hAnsi="仿宋_GB2312" w:eastAsia="仿宋_GB2312" w:cs="仿宋_GB2312"/>
          <w:sz w:val="24"/>
        </w:rPr>
        <w:t>供应商名称：</w:t>
      </w:r>
      <w:r>
        <w:rPr>
          <w:rFonts w:hint="eastAsia" w:ascii="仿宋_GB2312" w:hAnsi="仿宋_GB2312" w:eastAsia="仿宋_GB2312" w:cs="仿宋_GB2312"/>
          <w:sz w:val="24"/>
          <w:u w:val="single"/>
        </w:rPr>
        <w:t xml:space="preserve">                                             </w:t>
      </w: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（供应商名称）                 </w:t>
      </w:r>
      <w:r>
        <w:rPr>
          <w:rFonts w:hint="eastAsia" w:ascii="仿宋_GB2312" w:hAnsi="仿宋_GB2312" w:eastAsia="仿宋_GB2312" w:cs="仿宋_GB2312"/>
          <w:sz w:val="24"/>
        </w:rPr>
        <w:t>的法定代表人（单位负责人）。特此证明。</w:t>
      </w:r>
    </w:p>
    <w:p>
      <w:pPr>
        <w:spacing w:after="184"/>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附：法定代表人（单位负责人）身份证复印件。</w:t>
      </w:r>
    </w:p>
    <w:p>
      <w:pPr>
        <w:spacing w:after="182"/>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注：本身份证明需由供应商加盖单位公章。</w:t>
      </w:r>
    </w:p>
    <w:p>
      <w:pPr>
        <w:spacing w:after="175"/>
        <w:rPr>
          <w:rFonts w:ascii="仿宋_GB2312" w:hAnsi="仿宋_GB2312" w:eastAsia="仿宋_GB2312" w:cs="仿宋_GB2312"/>
          <w:sz w:val="24"/>
        </w:rPr>
      </w:pPr>
    </w:p>
    <w:p>
      <w:pPr>
        <w:spacing w:after="177"/>
        <w:rPr>
          <w:rFonts w:ascii="仿宋_GB2312" w:hAnsi="仿宋_GB2312" w:eastAsia="仿宋_GB2312" w:cs="仿宋_GB2312"/>
          <w:sz w:val="24"/>
        </w:rPr>
      </w:pPr>
    </w:p>
    <w:p>
      <w:pPr>
        <w:spacing w:after="145" w:line="265" w:lineRule="auto"/>
        <w:ind w:left="-4" w:leftChars="-2" w:right="590" w:firstLine="360" w:firstLineChars="150"/>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供应商：</w:t>
      </w:r>
      <w:r>
        <w:rPr>
          <w:rFonts w:hint="eastAsia" w:ascii="仿宋_GB2312" w:hAnsi="仿宋_GB2312" w:eastAsia="仿宋_GB2312" w:cs="仿宋_GB2312"/>
          <w:sz w:val="24"/>
          <w:u w:val="single"/>
        </w:rPr>
        <w:t xml:space="preserve">                 （单位公章）                 </w:t>
      </w:r>
    </w:p>
    <w:p>
      <w:pPr>
        <w:spacing w:after="177"/>
        <w:rPr>
          <w:rFonts w:ascii="仿宋_GB2312" w:hAnsi="仿宋_GB2312" w:eastAsia="仿宋_GB2312" w:cs="仿宋_GB2312"/>
          <w:sz w:val="24"/>
        </w:rPr>
      </w:pPr>
    </w:p>
    <w:p>
      <w:pPr>
        <w:spacing w:after="125" w:line="265" w:lineRule="auto"/>
        <w:ind w:left="10" w:right="2199" w:hanging="10"/>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pPr>
    </w:p>
    <w:p>
      <w:pPr>
        <w:tabs>
          <w:tab w:val="left" w:pos="927"/>
        </w:tabs>
        <w:spacing w:after="156" w:afterLines="50"/>
        <w:rPr>
          <w:rFonts w:ascii="仿宋" w:hAnsi="仿宋" w:eastAsia="仿宋"/>
          <w:sz w:val="24"/>
        </w:rPr>
        <w:sectPr>
          <w:pgSz w:w="11907" w:h="16840"/>
          <w:pgMar w:top="1361" w:right="1474" w:bottom="568" w:left="1588" w:header="680" w:footer="680" w:gutter="0"/>
          <w:pgNumType w:fmt="numberInDash"/>
          <w:cols w:space="720" w:num="1"/>
          <w:titlePg/>
          <w:docGrid w:type="lines" w:linePitch="312" w:charSpace="0"/>
        </w:sectPr>
      </w:pPr>
    </w:p>
    <w:p>
      <w:pPr>
        <w:tabs>
          <w:tab w:val="left" w:pos="927"/>
        </w:tabs>
        <w:spacing w:after="156" w:afterLines="50"/>
        <w:rPr>
          <w:sz w:val="28"/>
        </w:rPr>
      </w:pPr>
      <w:r>
        <w:rPr>
          <w:rFonts w:hint="eastAsia" w:ascii="仿宋" w:hAnsi="仿宋" w:eastAsia="仿宋"/>
          <w:sz w:val="24"/>
        </w:rPr>
        <w:t xml:space="preserve">格式3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b/>
          <w:sz w:val="32"/>
        </w:rPr>
        <w:t>授权委托书</w:t>
      </w:r>
      <w:r>
        <w:rPr>
          <w:rFonts w:hint="eastAsia" w:ascii="仿宋" w:hAnsi="仿宋" w:eastAsia="仿宋"/>
          <w:b/>
          <w:sz w:val="32"/>
        </w:rPr>
        <w:t xml:space="preserve"> </w:t>
      </w:r>
      <w:r>
        <w:rPr>
          <w:b/>
          <w:sz w:val="36"/>
        </w:rPr>
        <w:t xml:space="preserve"> </w:t>
      </w: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（姓名）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（供应商名称）    </w:t>
      </w:r>
      <w:r>
        <w:rPr>
          <w:rFonts w:hint="eastAsia" w:ascii="仿宋_GB2312" w:hAnsi="仿宋_GB2312" w:eastAsia="仿宋_GB2312" w:cs="仿宋_GB2312"/>
          <w:sz w:val="24"/>
        </w:rPr>
        <w:t>的法定代表人（单位负责人），现委托</w:t>
      </w:r>
      <w:r>
        <w:rPr>
          <w:rFonts w:hint="eastAsia" w:ascii="仿宋_GB2312" w:hAnsi="仿宋_GB2312" w:eastAsia="仿宋_GB2312" w:cs="仿宋_GB2312"/>
          <w:sz w:val="24"/>
          <w:u w:val="single"/>
        </w:rPr>
        <w:t xml:space="preserve">    （姓名）    </w:t>
      </w:r>
      <w:r>
        <w:rPr>
          <w:rFonts w:hint="eastAsia" w:ascii="仿宋_GB2312" w:hAnsi="仿宋_GB2312" w:eastAsia="仿宋_GB2312" w:cs="仿宋_GB2312"/>
          <w:sz w:val="24"/>
        </w:rPr>
        <w:t>为我方代理人。代理人根据授权，以我方名义签署、澄清确认、递交、撤回、修改本项目响应文件、签订合同和处理有关事宜，其法律后果由我方承担。</w:t>
      </w:r>
    </w:p>
    <w:p>
      <w:pPr>
        <w:spacing w:after="149" w:line="265" w:lineRule="auto"/>
        <w:ind w:left="-5" w:right="590" w:hanging="10"/>
        <w:rPr>
          <w:rFonts w:ascii="仿宋_GB2312" w:hAnsi="仿宋_GB2312" w:eastAsia="仿宋_GB2312" w:cs="仿宋_GB2312"/>
          <w:sz w:val="24"/>
        </w:rPr>
      </w:pPr>
      <w:r>
        <w:rPr>
          <w:rFonts w:hint="eastAsia" w:ascii="仿宋_GB2312" w:hAnsi="仿宋_GB2312" w:eastAsia="仿宋_GB2312" w:cs="仿宋_GB2312"/>
          <w:sz w:val="24"/>
        </w:rPr>
        <w:t>委托期限：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after="155" w:line="265" w:lineRule="auto"/>
        <w:ind w:left="430" w:right="590" w:hanging="1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pPr>
        <w:spacing w:after="182"/>
        <w:ind w:left="420"/>
        <w:rPr>
          <w:rFonts w:ascii="仿宋_GB2312" w:hAnsi="仿宋_GB2312" w:eastAsia="仿宋_GB2312" w:cs="仿宋_GB2312"/>
          <w:sz w:val="24"/>
        </w:rPr>
      </w:pP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附：法定代表人（单位负责人）身份证复印件及委托代理人身份证复印件</w:t>
      </w:r>
    </w:p>
    <w:p>
      <w:pPr>
        <w:spacing w:after="177"/>
        <w:rPr>
          <w:rFonts w:ascii="仿宋_GB2312" w:hAnsi="仿宋_GB2312" w:eastAsia="仿宋_GB2312" w:cs="仿宋_GB2312"/>
          <w:sz w:val="24"/>
        </w:rPr>
      </w:pPr>
    </w:p>
    <w:p>
      <w:pPr>
        <w:spacing w:after="27" w:line="370" w:lineRule="auto"/>
        <w:ind w:left="-15" w:right="596" w:firstLine="410"/>
        <w:rPr>
          <w:rFonts w:ascii="仿宋_GB2312" w:hAnsi="仿宋_GB2312" w:eastAsia="仿宋_GB2312" w:cs="仿宋_GB2312"/>
          <w:sz w:val="24"/>
        </w:rPr>
      </w:pPr>
      <w:r>
        <w:rPr>
          <w:rFonts w:hint="eastAsia" w:ascii="仿宋_GB2312" w:hAnsi="仿宋_GB2312" w:eastAsia="仿宋_GB2312" w:cs="仿宋_GB2312"/>
          <w:sz w:val="24"/>
        </w:rPr>
        <w:t>注：本授权委托书需由供应商加盖单位公章并由其法定代表人（单位负责人）和委托代理人签字。</w:t>
      </w:r>
    </w:p>
    <w:p>
      <w:pPr>
        <w:pStyle w:val="2"/>
        <w:ind w:firstLine="240"/>
      </w:pPr>
      <w:r>
        <w:rPr>
          <w:rFonts w:hint="eastAsia" w:ascii="仿宋_GB2312" w:hAnsi="仿宋_GB2312" w:eastAsia="仿宋_GB2312" w:cs="仿宋_GB2312"/>
          <w:sz w:val="24"/>
        </w:rPr>
        <w:t xml:space="preserve">    委托期限至少应同本项目规定的响应文件报价有效期一致。</w:t>
      </w:r>
    </w:p>
    <w:p>
      <w:pPr>
        <w:spacing w:after="180"/>
        <w:rPr>
          <w:rFonts w:ascii="仿宋_GB2312" w:hAnsi="仿宋_GB2312" w:eastAsia="仿宋_GB2312" w:cs="仿宋_GB2312"/>
          <w:sz w:val="24"/>
        </w:rPr>
      </w:pPr>
    </w:p>
    <w:p>
      <w:pPr>
        <w:tabs>
          <w:tab w:val="center" w:pos="3325"/>
          <w:tab w:val="center" w:pos="4201"/>
          <w:tab w:val="center" w:pos="4621"/>
          <w:tab w:val="center" w:pos="672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供应商：</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（单位公章）</w:t>
      </w:r>
    </w:p>
    <w:p>
      <w:pPr>
        <w:spacing w:after="180"/>
        <w:ind w:left="2693"/>
        <w:rPr>
          <w:rFonts w:ascii="仿宋_GB2312" w:hAnsi="仿宋_GB2312" w:eastAsia="仿宋_GB2312" w:cs="仿宋_GB2312"/>
          <w:sz w:val="24"/>
        </w:rPr>
      </w:pPr>
    </w:p>
    <w:p>
      <w:pPr>
        <w:tabs>
          <w:tab w:val="center" w:pos="4004"/>
          <w:tab w:val="center" w:pos="5881"/>
          <w:tab w:val="center" w:pos="6301"/>
          <w:tab w:val="center" w:pos="7982"/>
        </w:tabs>
        <w:spacing w:after="157"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法定代表人（单位负责人）：</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（签字）</w:t>
      </w:r>
    </w:p>
    <w:p>
      <w:pPr>
        <w:spacing w:after="177"/>
        <w:ind w:left="2693"/>
        <w:rPr>
          <w:rFonts w:ascii="仿宋_GB2312" w:hAnsi="仿宋_GB2312" w:eastAsia="仿宋_GB2312" w:cs="仿宋_GB2312"/>
          <w:sz w:val="24"/>
        </w:rPr>
      </w:pPr>
    </w:p>
    <w:p>
      <w:pPr>
        <w:tabs>
          <w:tab w:val="center" w:pos="3325"/>
          <w:tab w:val="center" w:pos="4201"/>
          <w:tab w:val="center" w:pos="4621"/>
          <w:tab w:val="center" w:pos="5041"/>
          <w:tab w:val="center" w:pos="8402"/>
        </w:tabs>
        <w:spacing w:after="148"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p>
    <w:p>
      <w:pPr>
        <w:spacing w:after="180"/>
        <w:ind w:left="2693"/>
        <w:rPr>
          <w:rFonts w:ascii="仿宋_GB2312" w:hAnsi="仿宋_GB2312" w:eastAsia="仿宋_GB2312" w:cs="仿宋_GB2312"/>
          <w:sz w:val="24"/>
        </w:rPr>
      </w:pPr>
    </w:p>
    <w:p>
      <w:pPr>
        <w:tabs>
          <w:tab w:val="center" w:pos="3325"/>
          <w:tab w:val="center" w:pos="4201"/>
          <w:tab w:val="center" w:pos="4621"/>
          <w:tab w:val="center" w:pos="672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委托代理人：</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rPr>
        <w:t>（签字）</w:t>
      </w:r>
    </w:p>
    <w:p>
      <w:pPr>
        <w:spacing w:after="177"/>
        <w:ind w:left="2693"/>
        <w:rPr>
          <w:rFonts w:ascii="仿宋_GB2312" w:hAnsi="仿宋_GB2312" w:eastAsia="仿宋_GB2312" w:cs="仿宋_GB2312"/>
          <w:sz w:val="24"/>
        </w:rPr>
      </w:pPr>
    </w:p>
    <w:p>
      <w:pPr>
        <w:tabs>
          <w:tab w:val="center" w:pos="3325"/>
          <w:tab w:val="center" w:pos="4201"/>
          <w:tab w:val="center" w:pos="4621"/>
          <w:tab w:val="center" w:pos="5041"/>
          <w:tab w:val="center" w:pos="8402"/>
        </w:tabs>
        <w:spacing w:after="150" w:line="265" w:lineRule="auto"/>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r>
        <w:rPr>
          <w:rFonts w:hint="eastAsia" w:ascii="仿宋_GB2312" w:hAnsi="仿宋_GB2312" w:eastAsia="仿宋_GB2312" w:cs="仿宋_GB2312"/>
          <w:sz w:val="24"/>
          <w:u w:val="single" w:color="000000"/>
        </w:rPr>
        <w:tab/>
      </w:r>
    </w:p>
    <w:p>
      <w:pPr>
        <w:spacing w:after="175"/>
        <w:ind w:left="2693"/>
        <w:rPr>
          <w:rFonts w:ascii="仿宋_GB2312" w:hAnsi="仿宋_GB2312" w:eastAsia="仿宋_GB2312" w:cs="仿宋_GB2312"/>
          <w:sz w:val="24"/>
        </w:rPr>
      </w:pPr>
    </w:p>
    <w:p>
      <w:pPr>
        <w:spacing w:after="176"/>
        <w:ind w:left="2693"/>
        <w:rPr>
          <w:rFonts w:ascii="仿宋_GB2312" w:hAnsi="仿宋_GB2312" w:eastAsia="仿宋_GB2312" w:cs="仿宋_GB2312"/>
          <w:sz w:val="24"/>
        </w:rPr>
      </w:pPr>
    </w:p>
    <w:p>
      <w:pPr>
        <w:spacing w:after="125" w:line="265" w:lineRule="auto"/>
        <w:ind w:left="10" w:right="710" w:hanging="10"/>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pPr>
        <w:pStyle w:val="2"/>
        <w:ind w:firstLine="210"/>
      </w:pPr>
    </w:p>
    <w:p>
      <w:pPr>
        <w:pStyle w:val="2"/>
        <w:ind w:firstLine="0" w:firstLineChars="0"/>
      </w:pPr>
    </w:p>
    <w:p>
      <w:pPr>
        <w:adjustRightInd w:val="0"/>
        <w:snapToGrid w:val="0"/>
        <w:jc w:val="left"/>
        <w:rPr>
          <w:rFonts w:ascii="仿宋_GB2312" w:hAnsi="仿宋" w:eastAsia="仿宋_GB2312"/>
          <w:sz w:val="24"/>
        </w:rPr>
      </w:pPr>
      <w:r>
        <w:rPr>
          <w:rFonts w:hint="eastAsia" w:ascii="仿宋_GB2312" w:hAnsi="仿宋" w:eastAsia="仿宋_GB2312"/>
          <w:sz w:val="24"/>
        </w:rPr>
        <w:t>格式4：</w:t>
      </w:r>
    </w:p>
    <w:p>
      <w:pPr>
        <w:widowControl/>
        <w:adjustRightInd w:val="0"/>
        <w:snapToGrid w:val="0"/>
        <w:jc w:val="center"/>
        <w:rPr>
          <w:rFonts w:ascii="仿宋_GB2312" w:hAnsi="仿宋" w:eastAsia="仿宋_GB2312"/>
          <w:sz w:val="24"/>
        </w:rPr>
      </w:pPr>
      <w:r>
        <w:rPr>
          <w:rFonts w:hint="eastAsia" w:ascii="仿宋_GB2312" w:hAnsi="仿宋" w:eastAsia="仿宋_GB2312"/>
          <w:sz w:val="24"/>
        </w:rPr>
        <w:t>开具增值税专用发票承诺函</w:t>
      </w:r>
    </w:p>
    <w:p>
      <w:pPr>
        <w:widowControl/>
        <w:adjustRightInd w:val="0"/>
        <w:snapToGrid w:val="0"/>
        <w:jc w:val="center"/>
        <w:rPr>
          <w:rFonts w:ascii="仿宋_GB2312" w:hAnsi="仿宋" w:eastAsia="仿宋_GB2312"/>
          <w:sz w:val="24"/>
        </w:rPr>
      </w:pPr>
    </w:p>
    <w:p>
      <w:pPr>
        <w:widowControl/>
        <w:adjustRightInd w:val="0"/>
        <w:snapToGrid w:val="0"/>
        <w:spacing w:line="360" w:lineRule="auto"/>
        <w:rPr>
          <w:rFonts w:ascii="仿宋_GB2312" w:hAnsi="仿宋" w:eastAsia="仿宋_GB2312"/>
          <w:sz w:val="24"/>
        </w:rPr>
      </w:pPr>
      <w:r>
        <w:rPr>
          <w:rFonts w:hint="eastAsia" w:ascii="仿宋_GB2312" w:hAnsi="仿宋" w:eastAsia="仿宋_GB2312"/>
          <w:sz w:val="24"/>
        </w:rPr>
        <w:t>致：浙江幸福轨道交通运营管理有限公司</w:t>
      </w:r>
    </w:p>
    <w:p>
      <w:pPr>
        <w:adjustRightInd w:val="0"/>
        <w:snapToGrid w:val="0"/>
        <w:spacing w:line="360" w:lineRule="auto"/>
        <w:ind w:firstLine="480" w:firstLineChars="200"/>
        <w:rPr>
          <w:rFonts w:ascii="仿宋_GB2312" w:hAnsi="仿宋" w:eastAsia="仿宋_GB2312"/>
          <w:sz w:val="24"/>
        </w:rPr>
      </w:pPr>
      <w:r>
        <w:rPr>
          <w:rFonts w:hint="eastAsia" w:ascii="仿宋_GB2312" w:hAnsi="仿宋" w:eastAsia="仿宋_GB2312"/>
          <w:sz w:val="24"/>
        </w:rPr>
        <w:t>本单位如在本次项目中获选，承诺将在履行合同的过程中根据询比文件规定开具相应金额的增值税专用发票，税率为</w:t>
      </w:r>
      <w:r>
        <w:rPr>
          <w:rFonts w:hint="eastAsia" w:ascii="仿宋_GB2312" w:hAnsi="仿宋" w:eastAsia="仿宋_GB2312"/>
          <w:sz w:val="24"/>
          <w:u w:val="single"/>
        </w:rPr>
        <w:t xml:space="preserve"> </w:t>
      </w:r>
      <w:r>
        <w:rPr>
          <w:rFonts w:ascii="仿宋_GB2312" w:hAnsi="仿宋" w:eastAsia="仿宋_GB2312"/>
          <w:sz w:val="24"/>
          <w:u w:val="single"/>
        </w:rPr>
        <w:t xml:space="preserve"> </w:t>
      </w:r>
      <w:r>
        <w:rPr>
          <w:rFonts w:hint="eastAsia" w:ascii="仿宋_GB2312" w:hAnsi="仿宋" w:eastAsia="仿宋_GB2312"/>
          <w:sz w:val="24"/>
          <w:u w:val="single"/>
        </w:rPr>
        <w:t xml:space="preserve"> </w:t>
      </w:r>
      <w:r>
        <w:rPr>
          <w:rFonts w:hint="eastAsia" w:ascii="仿宋_GB2312" w:hAnsi="仿宋" w:eastAsia="仿宋_GB2312"/>
          <w:sz w:val="24"/>
        </w:rPr>
        <w:t>%。 否则，采购人有权取消我单位的中选候选人资格。</w:t>
      </w:r>
    </w:p>
    <w:p>
      <w:pPr>
        <w:rPr>
          <w:rFonts w:ascii="仿宋_GB2312" w:hAnsi="仿宋" w:eastAsia="仿宋_GB2312"/>
          <w:sz w:val="24"/>
        </w:rPr>
      </w:pPr>
      <w:r>
        <w:rPr>
          <w:rFonts w:hint="eastAsia" w:ascii="仿宋_GB2312" w:hAnsi="仿宋" w:eastAsia="仿宋_GB2312"/>
          <w:sz w:val="24"/>
        </w:rPr>
        <w:t xml:space="preserve"> </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响应报价供应商全称（公章）：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法定代表人或授权代表（签字或盖章）：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日期：</w:t>
      </w:r>
    </w:p>
    <w:p>
      <w:pPr>
        <w:adjustRightInd w:val="0"/>
        <w:snapToGrid w:val="0"/>
        <w:jc w:val="left"/>
        <w:rPr>
          <w:rFonts w:ascii="仿宋_GB2312" w:hAnsi="仿宋" w:eastAsia="仿宋_GB2312"/>
          <w:sz w:val="24"/>
        </w:rPr>
      </w:pPr>
    </w:p>
    <w:p>
      <w:pPr>
        <w:pStyle w:val="47"/>
        <w:ind w:right="17" w:rightChars="8"/>
        <w:jc w:val="center"/>
        <w:outlineLvl w:val="9"/>
        <w:rPr>
          <w:rFonts w:ascii="仿宋_GB2312" w:hAnsi="仿宋" w:eastAsia="仿宋_GB2312"/>
          <w:sz w:val="24"/>
        </w:rPr>
        <w:sectPr>
          <w:footerReference r:id="rId7" w:type="firs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hAnsi="仿宋" w:eastAsia="仿宋_GB2312"/>
          <w:sz w:val="24"/>
        </w:rPr>
        <w:t>注：可抵扣的增值税不进入评议价。</w:t>
      </w:r>
    </w:p>
    <w:p>
      <w:pPr>
        <w:pStyle w:val="47"/>
        <w:ind w:right="17" w:rightChars="8"/>
        <w:outlineLvl w:val="9"/>
        <w:rPr>
          <w:rFonts w:ascii="仿宋_GB2312" w:hAnsi="仿宋_GB2312" w:eastAsia="仿宋_GB2312" w:cs="仿宋_GB2312"/>
        </w:rPr>
      </w:pPr>
      <w:r>
        <w:rPr>
          <w:rFonts w:hint="eastAsia" w:ascii="仿宋_GB2312" w:hAnsi="仿宋_GB2312" w:eastAsia="仿宋_GB2312" w:cs="仿宋_GB2312"/>
          <w:sz w:val="24"/>
        </w:rPr>
        <w:t>格式5</w:t>
      </w:r>
    </w:p>
    <w:p>
      <w:pPr>
        <w:pStyle w:val="47"/>
        <w:ind w:right="17" w:rightChars="8"/>
        <w:jc w:val="center"/>
        <w:outlineLvl w:val="9"/>
        <w:rPr>
          <w:rFonts w:ascii="仿宋_GB2312" w:hAnsi="仿宋_GB2312" w:eastAsia="仿宋_GB2312" w:cs="仿宋_GB2312"/>
        </w:rPr>
      </w:pPr>
      <w:r>
        <w:rPr>
          <w:rFonts w:hint="eastAsia" w:ascii="仿宋_GB2312" w:hAnsi="仿宋_GB2312" w:eastAsia="仿宋_GB2312" w:cs="仿宋_GB2312"/>
        </w:rPr>
        <w:t>合同条款确认函</w:t>
      </w:r>
    </w:p>
    <w:p>
      <w:pPr>
        <w:widowControl/>
        <w:snapToGrid w:val="0"/>
        <w:spacing w:before="156" w:beforeLines="50" w:after="156" w:afterLines="50" w:line="360" w:lineRule="auto"/>
        <w:ind w:right="17" w:rightChars="8"/>
        <w:rPr>
          <w:rFonts w:ascii="仿宋_GB2312" w:hAnsi="仿宋_GB2312" w:eastAsia="仿宋_GB2312" w:cs="仿宋_GB2312"/>
          <w:position w:val="6"/>
          <w:sz w:val="24"/>
        </w:rPr>
      </w:pPr>
      <w:r>
        <w:rPr>
          <w:rFonts w:hint="eastAsia" w:ascii="仿宋_GB2312" w:hAnsi="仿宋_GB2312" w:eastAsia="仿宋_GB2312" w:cs="仿宋_GB2312"/>
          <w:position w:val="6"/>
          <w:sz w:val="24"/>
        </w:rPr>
        <w:t>致：</w:t>
      </w:r>
    </w:p>
    <w:p>
      <w:pPr>
        <w:widowControl/>
        <w:snapToGrid w:val="0"/>
        <w:spacing w:before="156" w:beforeLines="50" w:after="156" w:afterLines="50" w:line="360" w:lineRule="auto"/>
        <w:ind w:right="17" w:rightChars="8"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鉴于我们已经收到并认真研究了：</w:t>
      </w:r>
      <w:r>
        <w:rPr>
          <w:rFonts w:hint="eastAsia" w:ascii="仿宋_GB2312" w:hAnsi="仿宋_GB2312" w:eastAsia="仿宋_GB2312" w:cs="仿宋_GB2312"/>
          <w:sz w:val="24"/>
          <w:u w:val="single"/>
        </w:rPr>
        <w:t>（项目名称）</w:t>
      </w:r>
      <w:r>
        <w:rPr>
          <w:rFonts w:hint="eastAsia" w:ascii="仿宋_GB2312" w:hAnsi="仿宋_GB2312" w:eastAsia="仿宋_GB2312" w:cs="仿宋_GB2312"/>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pPr>
        <w:widowControl/>
        <w:snapToGrid w:val="0"/>
        <w:spacing w:before="156" w:beforeLines="50" w:after="156" w:afterLines="50" w:line="360" w:lineRule="auto"/>
        <w:ind w:firstLine="420" w:firstLineChars="200"/>
        <w:rPr>
          <w:rFonts w:ascii="仿宋_GB2312" w:hAnsi="仿宋_GB2312" w:eastAsia="仿宋_GB2312" w:cs="仿宋_GB2312"/>
          <w:szCs w:val="21"/>
        </w:rPr>
      </w:pPr>
    </w:p>
    <w:p>
      <w:pPr>
        <w:widowControl/>
        <w:snapToGrid w:val="0"/>
        <w:spacing w:before="156" w:beforeLines="50" w:after="156" w:afterLines="50" w:line="360" w:lineRule="auto"/>
        <w:ind w:firstLine="420" w:firstLineChars="200"/>
        <w:rPr>
          <w:rFonts w:ascii="仿宋_GB2312" w:hAnsi="仿宋_GB2312" w:eastAsia="仿宋_GB2312" w:cs="仿宋_GB2312"/>
          <w:szCs w:val="21"/>
        </w:rPr>
      </w:pPr>
    </w:p>
    <w:p>
      <w:pPr>
        <w:widowControl/>
        <w:snapToGrid w:val="0"/>
        <w:spacing w:before="156" w:beforeLines="50" w:after="156" w:afterLines="50" w:line="360" w:lineRule="auto"/>
        <w:ind w:firstLine="5040"/>
        <w:rPr>
          <w:rFonts w:ascii="仿宋_GB2312" w:hAnsi="仿宋_GB2312" w:eastAsia="仿宋_GB2312" w:cs="仿宋_GB2312"/>
          <w:szCs w:val="21"/>
        </w:rPr>
      </w:pPr>
    </w:p>
    <w:p>
      <w:pPr>
        <w:widowControl/>
        <w:snapToGrid w:val="0"/>
        <w:spacing w:before="156" w:beforeLines="50" w:after="156" w:afterLines="50" w:line="360" w:lineRule="auto"/>
        <w:ind w:firstLine="5040"/>
        <w:rPr>
          <w:rFonts w:ascii="仿宋_GB2312" w:hAnsi="仿宋_GB2312" w:eastAsia="仿宋_GB2312" w:cs="仿宋_GB2312"/>
          <w:szCs w:val="21"/>
        </w:rPr>
      </w:pPr>
    </w:p>
    <w:p>
      <w:pPr>
        <w:adjustRightInd w:val="0"/>
        <w:snapToGrid w:val="0"/>
        <w:rPr>
          <w:rFonts w:ascii="仿宋_GB2312" w:hAnsi="仿宋" w:eastAsia="仿宋_GB2312"/>
          <w:sz w:val="24"/>
        </w:rPr>
      </w:pPr>
      <w:r>
        <w:rPr>
          <w:rFonts w:hint="eastAsia" w:ascii="仿宋_GB2312" w:hAnsi="仿宋" w:eastAsia="仿宋_GB2312"/>
          <w:sz w:val="24"/>
        </w:rPr>
        <w:t>响应报价供应商全称（公章）：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法定代表人或授权代表（签字或盖章）：</w:t>
      </w:r>
    </w:p>
    <w:p>
      <w:pPr>
        <w:adjustRightInd w:val="0"/>
        <w:snapToGrid w:val="0"/>
        <w:rPr>
          <w:rFonts w:ascii="仿宋_GB2312" w:hAnsi="仿宋" w:eastAsia="仿宋_GB2312"/>
          <w:sz w:val="24"/>
        </w:rPr>
      </w:pPr>
    </w:p>
    <w:p>
      <w:pPr>
        <w:adjustRightInd w:val="0"/>
        <w:snapToGrid w:val="0"/>
        <w:rPr>
          <w:rFonts w:ascii="仿宋_GB2312" w:hAnsi="仿宋" w:eastAsia="仿宋_GB2312"/>
          <w:sz w:val="24"/>
        </w:rPr>
      </w:pPr>
      <w:r>
        <w:rPr>
          <w:rFonts w:hint="eastAsia" w:ascii="仿宋_GB2312" w:hAnsi="仿宋" w:eastAsia="仿宋_GB2312"/>
          <w:sz w:val="24"/>
        </w:rPr>
        <w:t>日期：</w:t>
      </w: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 w:eastAsia="仿宋_GB2312"/>
          <w:sz w:val="24"/>
        </w:rPr>
      </w:pPr>
    </w:p>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格式6：</w:t>
      </w:r>
    </w:p>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商务/技术偏差表</w:t>
      </w:r>
    </w:p>
    <w:p>
      <w:pPr>
        <w:snapToGrid w:val="0"/>
        <w:spacing w:before="120"/>
        <w:rPr>
          <w:rFonts w:ascii="仿宋_GB2312" w:hAnsi="仿宋_GB2312" w:eastAsia="仿宋_GB2312" w:cs="仿宋_GB2312"/>
          <w:sz w:val="24"/>
        </w:rPr>
      </w:pPr>
      <w:r>
        <w:rPr>
          <w:rFonts w:hint="eastAsia" w:ascii="仿宋_GB2312" w:hAnsi="仿宋_GB2312" w:eastAsia="仿宋_GB2312" w:cs="仿宋_GB2312"/>
          <w:sz w:val="24"/>
        </w:rPr>
        <w:t>供应商需将响应文件和采购询比文件的差异之处汇集成表。如无偏差，请填写“无”。</w:t>
      </w:r>
    </w:p>
    <w:tbl>
      <w:tblPr>
        <w:tblStyle w:val="1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12"/>
        <w:gridCol w:w="2582"/>
        <w:gridCol w:w="900"/>
        <w:gridCol w:w="266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653" w:type="dxa"/>
            <w:vMerge w:val="restart"/>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94" w:type="dxa"/>
            <w:gridSpan w:val="2"/>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采  购  文  件</w:t>
            </w:r>
          </w:p>
        </w:tc>
        <w:tc>
          <w:tcPr>
            <w:tcW w:w="3568" w:type="dxa"/>
            <w:gridSpan w:val="2"/>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响  应  文  件</w:t>
            </w:r>
          </w:p>
        </w:tc>
        <w:tc>
          <w:tcPr>
            <w:tcW w:w="838" w:type="dxa"/>
            <w:vMerge w:val="restart"/>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653" w:type="dxa"/>
            <w:vMerge w:val="continue"/>
            <w:vAlign w:val="center"/>
          </w:tcPr>
          <w:p>
            <w:pPr>
              <w:adjustRightInd w:val="0"/>
              <w:snapToGrid w:val="0"/>
              <w:jc w:val="center"/>
              <w:rPr>
                <w:rFonts w:ascii="仿宋_GB2312" w:hAnsi="仿宋_GB2312" w:eastAsia="仿宋_GB2312" w:cs="仿宋_GB2312"/>
                <w:szCs w:val="21"/>
              </w:rPr>
            </w:pPr>
          </w:p>
        </w:tc>
        <w:tc>
          <w:tcPr>
            <w:tcW w:w="91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条 目</w:t>
            </w:r>
          </w:p>
        </w:tc>
        <w:tc>
          <w:tcPr>
            <w:tcW w:w="2582"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简  要  内  容</w:t>
            </w:r>
          </w:p>
        </w:tc>
        <w:tc>
          <w:tcPr>
            <w:tcW w:w="900"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条 目</w:t>
            </w:r>
          </w:p>
        </w:tc>
        <w:tc>
          <w:tcPr>
            <w:tcW w:w="2668"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简  要  内  容</w:t>
            </w:r>
          </w:p>
        </w:tc>
        <w:tc>
          <w:tcPr>
            <w:tcW w:w="838" w:type="dxa"/>
            <w:vMerge w:val="continue"/>
            <w:vAlign w:val="center"/>
          </w:tcPr>
          <w:p>
            <w:pPr>
              <w:widowControl/>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3"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2" w:type="dxa"/>
            <w:vAlign w:val="center"/>
          </w:tcPr>
          <w:p>
            <w:pPr>
              <w:adjustRightInd w:val="0"/>
              <w:snapToGrid w:val="0"/>
              <w:jc w:val="center"/>
              <w:rPr>
                <w:rFonts w:ascii="仿宋_GB2312" w:hAnsi="仿宋_GB2312" w:eastAsia="仿宋_GB2312" w:cs="仿宋_GB2312"/>
                <w:szCs w:val="21"/>
              </w:rPr>
            </w:pPr>
          </w:p>
        </w:tc>
        <w:tc>
          <w:tcPr>
            <w:tcW w:w="2582" w:type="dxa"/>
            <w:vAlign w:val="center"/>
          </w:tcPr>
          <w:p>
            <w:pPr>
              <w:adjustRightInd w:val="0"/>
              <w:snapToGrid w:val="0"/>
              <w:jc w:val="center"/>
              <w:rPr>
                <w:rFonts w:ascii="仿宋_GB2312" w:hAnsi="仿宋_GB2312" w:eastAsia="仿宋_GB2312" w:cs="仿宋_GB2312"/>
                <w:szCs w:val="21"/>
              </w:rPr>
            </w:pPr>
          </w:p>
        </w:tc>
        <w:tc>
          <w:tcPr>
            <w:tcW w:w="900" w:type="dxa"/>
            <w:vAlign w:val="center"/>
          </w:tcPr>
          <w:p>
            <w:pPr>
              <w:adjustRightInd w:val="0"/>
              <w:snapToGrid w:val="0"/>
              <w:jc w:val="center"/>
              <w:rPr>
                <w:rFonts w:ascii="仿宋_GB2312" w:hAnsi="仿宋_GB2312" w:eastAsia="仿宋_GB2312" w:cs="仿宋_GB2312"/>
                <w:szCs w:val="21"/>
              </w:rPr>
            </w:pPr>
          </w:p>
        </w:tc>
        <w:tc>
          <w:tcPr>
            <w:tcW w:w="2668" w:type="dxa"/>
            <w:vAlign w:val="center"/>
          </w:tcPr>
          <w:p>
            <w:pPr>
              <w:adjustRightInd w:val="0"/>
              <w:snapToGrid w:val="0"/>
              <w:jc w:val="center"/>
              <w:rPr>
                <w:rFonts w:ascii="仿宋_GB2312" w:hAnsi="仿宋_GB2312" w:eastAsia="仿宋_GB2312" w:cs="仿宋_GB2312"/>
                <w:szCs w:val="21"/>
              </w:rPr>
            </w:pPr>
          </w:p>
        </w:tc>
        <w:tc>
          <w:tcPr>
            <w:tcW w:w="838" w:type="dxa"/>
            <w:vAlign w:val="center"/>
          </w:tcPr>
          <w:p>
            <w:pPr>
              <w:adjustRightInd w:val="0"/>
              <w:snapToGrid w:val="0"/>
              <w:jc w:val="center"/>
              <w:rPr>
                <w:rFonts w:ascii="仿宋_GB2312" w:hAnsi="仿宋_GB2312" w:eastAsia="仿宋_GB2312" w:cs="仿宋_GB2312"/>
                <w:szCs w:val="21"/>
              </w:rPr>
            </w:pPr>
          </w:p>
        </w:tc>
      </w:tr>
    </w:tbl>
    <w:p>
      <w:pPr>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本偏差表所列的偏差全部属实，除商务和技术偏差表列出的偏差外，供应商响应采购文件的全部要求。</w:t>
      </w:r>
    </w:p>
    <w:p>
      <w:pPr>
        <w:pStyle w:val="2"/>
        <w:ind w:firstLine="210"/>
        <w:rPr>
          <w:rFonts w:ascii="仿宋_GB2312" w:hAnsi="仿宋_GB2312" w:eastAsia="仿宋_GB2312" w:cs="仿宋_GB2312"/>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响应报价供应商全称（公章）：</w:t>
      </w:r>
    </w:p>
    <w:p>
      <w:pPr>
        <w:adjustRightInd w:val="0"/>
        <w:snapToGrid w:val="0"/>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w:t>
      </w:r>
    </w:p>
    <w:p>
      <w:pPr>
        <w:adjustRightInd w:val="0"/>
        <w:snapToGrid w:val="0"/>
        <w:rPr>
          <w:rFonts w:ascii="仿宋_GB2312" w:hAnsi="仿宋_GB2312" w:eastAsia="仿宋_GB2312" w:cs="仿宋_GB2312"/>
          <w:sz w:val="24"/>
        </w:rPr>
      </w:pP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日期：</w:t>
      </w:r>
    </w:p>
    <w:p>
      <w:pPr>
        <w:spacing w:after="156" w:afterLines="50" w:line="420" w:lineRule="exact"/>
        <w:jc w:val="left"/>
        <w:rPr>
          <w:sz w:val="28"/>
        </w:rPr>
      </w:pPr>
    </w:p>
    <w:p>
      <w:pPr>
        <w:spacing w:after="156" w:afterLines="50" w:line="420" w:lineRule="exact"/>
        <w:jc w:val="left"/>
        <w:rPr>
          <w:sz w:val="28"/>
        </w:rPr>
      </w:pPr>
    </w:p>
    <w:p>
      <w:pPr>
        <w:spacing w:after="156" w:afterLines="50" w:line="420" w:lineRule="exact"/>
        <w:jc w:val="left"/>
        <w:rPr>
          <w:sz w:val="28"/>
        </w:rPr>
      </w:pPr>
    </w:p>
    <w:p>
      <w:pPr>
        <w:tabs>
          <w:tab w:val="left" w:pos="1119"/>
        </w:tabs>
        <w:rPr>
          <w:rFonts w:hint="eastAsia" w:eastAsia="宋体"/>
          <w:sz w:val="28"/>
          <w:lang w:eastAsia="zh-CN"/>
        </w:rPr>
      </w:pPr>
    </w:p>
    <w:sectPr>
      <w:footerReference r:id="rId9" w:type="first"/>
      <w:footerReference r:id="rId8" w:type="default"/>
      <w:pgSz w:w="11907" w:h="16840"/>
      <w:pgMar w:top="1361" w:right="1474" w:bottom="568" w:left="1588" w:header="680" w:footer="68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8" o:spid="_x0000_s1028" o:spt="202" type="#_x0000_t202" style="position:absolute;left:0pt;margin-top:0pt;height:11pt;width:18.7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7" o:spid="_x0000_s1027" o:spt="202" type="#_x0000_t202" style="position:absolute;left:0pt;margin-top:0pt;height:11pt;width:18.75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11" o:spid="_x0000_s1026" o:spt="202" type="#_x0000_t202" style="position:absolute;left:0pt;margin-top:0pt;height:11pt;width:18.75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r>
      <w:pict>
        <v:shape id="_x0000_s1025" o:spid="_x0000_s1025" o:spt="202" type="#_x0000_t202" style="position:absolute;left:0pt;margin-top:0pt;height:23.05pt;width:10.55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2"/>
                </w:pP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6432;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tpmZ9EAAAADAQAADwAAAAAAAAABACAAAAAiAAAAZHJz&#10;L2Rvd25yZXYueG1sUEsBAhQAFAAAAAgAh07iQF0IYeMLAgAAAgQAAA4AAAAAAAAAAQAgAAAAIAEA&#10;AGRycy9lMm9Eb2MueG1sUEsFBgAAAAAGAAYAWQEAAJ0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112</w:t>
    </w:r>
    <w:r>
      <w:rPr>
        <w:lang w:val="zh-CN"/>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7vQoK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BV9wZoWhhh+/fzv++HX8&#10;+ZUtoj2d8zll3TnKC/0r6GloklTvbkF+9szCTSPsVl0jQtcoURG9WXyZ3Xs64PgIUnZvoaI6Yhcg&#10;AfU1mugducEInVpzOLdG9YFJOpwvXlxe0I2kq9nz2WJxkSqIfHzs0IfXCgyLQcGROp/Axf7Wh0hG&#10;5GNKrGVho9s2db+1fx1QYjxJ5CPfgXnoy/5kRgnVgWQgDMNEX4mCBvALZx0NUsEt/RvO2jeWjIgz&#10;NwY4BuUYCCvpYcEDZ0N4E4bZ3DnU24ZwR6uvyayNTkKiqwOHE0sajaTvN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R+70K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pPr>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4.15pt;width:9.05pt;mso-position-horizontal:center;mso-position-horizontal-relative:margin;mso-wrap-style:none;z-index:251659264;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O/DL0QAAAAMBAAAPAAAAAAAAAAEAIAAAACIAAABkcnMv&#10;ZG93bnJldi54bWxQSwECFAAUAAAACACHTuJA+GvJEAoCAAACBAAADgAAAAAAAAABACAAAAAgAQAA&#10;ZHJzL2Uyb0RvYy54bWxQSwUGAAAAAAYABgBZAQAAnAUAAAAA&#10;">
              <v:fill on="f" focussize="0,0"/>
              <v:stroke on="f"/>
              <v:imagedata o:title=""/>
              <o:lock v:ext="edit" aspectratio="f"/>
              <v:textbox inset="0mm,0mm,0mm,0mm" style="mso-fit-shape-to-text:t;">
                <w:txbxContent>
                  <w:p>
                    <w:pPr>
                      <w:jc w:val="center"/>
                    </w:pPr>
                  </w:p>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AQmVe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12"/>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12"/>
                      <w:jc w:val="center"/>
                    </w:pPr>
                  </w:p>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6CD7A"/>
    <w:multiLevelType w:val="singleLevel"/>
    <w:tmpl w:val="8166CD7A"/>
    <w:lvl w:ilvl="0" w:tentative="0">
      <w:start w:val="1"/>
      <w:numFmt w:val="chineseCounting"/>
      <w:suff w:val="nothing"/>
      <w:lvlText w:val="%1、"/>
      <w:lvlJc w:val="left"/>
      <w:pPr>
        <w:ind w:left="0" w:firstLine="420"/>
      </w:pPr>
      <w:rPr>
        <w:rFonts w:hint="eastAsia"/>
      </w:rPr>
    </w:lvl>
  </w:abstractNum>
  <w:abstractNum w:abstractNumId="1">
    <w:nsid w:val="07354112"/>
    <w:multiLevelType w:val="singleLevel"/>
    <w:tmpl w:val="07354112"/>
    <w:lvl w:ilvl="0" w:tentative="0">
      <w:start w:val="1"/>
      <w:numFmt w:val="chineseCounting"/>
      <w:suff w:val="nothing"/>
      <w:lvlText w:val="%1、"/>
      <w:lvlJc w:val="left"/>
      <w:pPr>
        <w:ind w:left="0" w:firstLine="420"/>
      </w:pPr>
      <w:rPr>
        <w:rFonts w:hint="eastAsia"/>
      </w:rPr>
    </w:lvl>
  </w:abstractNum>
  <w:abstractNum w:abstractNumId="2">
    <w:nsid w:val="09B9CC57"/>
    <w:multiLevelType w:val="singleLevel"/>
    <w:tmpl w:val="09B9CC57"/>
    <w:lvl w:ilvl="0" w:tentative="0">
      <w:start w:val="1"/>
      <w:numFmt w:val="decimal"/>
      <w:lvlText w:val="(%1)"/>
      <w:lvlJc w:val="left"/>
      <w:pPr>
        <w:ind w:left="425" w:hanging="425"/>
      </w:pPr>
      <w:rPr>
        <w:rFonts w:hint="default"/>
      </w:rPr>
    </w:lvl>
  </w:abstractNum>
  <w:abstractNum w:abstractNumId="3">
    <w:nsid w:val="4612CC62"/>
    <w:multiLevelType w:val="singleLevel"/>
    <w:tmpl w:val="4612CC62"/>
    <w:lvl w:ilvl="0" w:tentative="0">
      <w:start w:val="1"/>
      <w:numFmt w:val="chineseCounting"/>
      <w:suff w:val="nothing"/>
      <w:lvlText w:val="%1、"/>
      <w:lvlJc w:val="left"/>
      <w:pPr>
        <w:ind w:left="0" w:firstLine="420"/>
      </w:pPr>
      <w:rPr>
        <w:rFonts w:hint="eastAsia"/>
      </w:rPr>
    </w:lvl>
  </w:abstractNum>
  <w:abstractNum w:abstractNumId="4">
    <w:nsid w:val="56308431"/>
    <w:multiLevelType w:val="singleLevel"/>
    <w:tmpl w:val="56308431"/>
    <w:lvl w:ilvl="0" w:tentative="0">
      <w:start w:val="4"/>
      <w:numFmt w:val="decimal"/>
      <w:suff w:val="nothing"/>
      <w:lvlText w:val="%1、"/>
      <w:lvlJc w:val="left"/>
    </w:lvl>
  </w:abstractNum>
  <w:abstractNum w:abstractNumId="5">
    <w:nsid w:val="63EA4C49"/>
    <w:multiLevelType w:val="multilevel"/>
    <w:tmpl w:val="63EA4C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40656A"/>
    <w:rsid w:val="00407F6E"/>
    <w:rsid w:val="004103BC"/>
    <w:rsid w:val="00411ABA"/>
    <w:rsid w:val="00453065"/>
    <w:rsid w:val="00453BB2"/>
    <w:rsid w:val="00461913"/>
    <w:rsid w:val="00461F67"/>
    <w:rsid w:val="004770DF"/>
    <w:rsid w:val="004B708F"/>
    <w:rsid w:val="004D0139"/>
    <w:rsid w:val="004D5DEB"/>
    <w:rsid w:val="004E2433"/>
    <w:rsid w:val="004F4EBC"/>
    <w:rsid w:val="004F6275"/>
    <w:rsid w:val="00500122"/>
    <w:rsid w:val="00537269"/>
    <w:rsid w:val="00551FC7"/>
    <w:rsid w:val="00553D4D"/>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326D0"/>
    <w:rsid w:val="00880A04"/>
    <w:rsid w:val="00892240"/>
    <w:rsid w:val="008979B2"/>
    <w:rsid w:val="008C741C"/>
    <w:rsid w:val="008E682E"/>
    <w:rsid w:val="008F4EDF"/>
    <w:rsid w:val="00903DDF"/>
    <w:rsid w:val="009047FF"/>
    <w:rsid w:val="00915259"/>
    <w:rsid w:val="00921F3F"/>
    <w:rsid w:val="00923F87"/>
    <w:rsid w:val="009241BE"/>
    <w:rsid w:val="00936318"/>
    <w:rsid w:val="00944D10"/>
    <w:rsid w:val="009552E1"/>
    <w:rsid w:val="0099408E"/>
    <w:rsid w:val="00996CA4"/>
    <w:rsid w:val="009F2A6B"/>
    <w:rsid w:val="00A0336D"/>
    <w:rsid w:val="00A31335"/>
    <w:rsid w:val="00A36221"/>
    <w:rsid w:val="00A632BF"/>
    <w:rsid w:val="00A94915"/>
    <w:rsid w:val="00A94ECF"/>
    <w:rsid w:val="00AA39E7"/>
    <w:rsid w:val="00AA63E0"/>
    <w:rsid w:val="00AA7C59"/>
    <w:rsid w:val="00B02FC3"/>
    <w:rsid w:val="00B11359"/>
    <w:rsid w:val="00B47915"/>
    <w:rsid w:val="00B6460E"/>
    <w:rsid w:val="00B867FF"/>
    <w:rsid w:val="00BB03CE"/>
    <w:rsid w:val="00BB6B99"/>
    <w:rsid w:val="00BC2A7F"/>
    <w:rsid w:val="00BD0531"/>
    <w:rsid w:val="00BD6C29"/>
    <w:rsid w:val="00C326D0"/>
    <w:rsid w:val="00C33F15"/>
    <w:rsid w:val="00C566E3"/>
    <w:rsid w:val="00C9572C"/>
    <w:rsid w:val="00CC17D4"/>
    <w:rsid w:val="00CE531A"/>
    <w:rsid w:val="00D02842"/>
    <w:rsid w:val="00D17DEC"/>
    <w:rsid w:val="00D25987"/>
    <w:rsid w:val="00D50CC5"/>
    <w:rsid w:val="00D63D74"/>
    <w:rsid w:val="00D728D8"/>
    <w:rsid w:val="00D90BBA"/>
    <w:rsid w:val="00D9405F"/>
    <w:rsid w:val="00DA0898"/>
    <w:rsid w:val="00DA611D"/>
    <w:rsid w:val="00DB2A21"/>
    <w:rsid w:val="00DD3F20"/>
    <w:rsid w:val="00DE1541"/>
    <w:rsid w:val="00DE4345"/>
    <w:rsid w:val="00DF0ECD"/>
    <w:rsid w:val="00E85589"/>
    <w:rsid w:val="00EB1BAD"/>
    <w:rsid w:val="00EB567B"/>
    <w:rsid w:val="00EE7906"/>
    <w:rsid w:val="00EF2AAD"/>
    <w:rsid w:val="00F45599"/>
    <w:rsid w:val="00F45FAB"/>
    <w:rsid w:val="00F8079D"/>
    <w:rsid w:val="00F9481E"/>
    <w:rsid w:val="00F97510"/>
    <w:rsid w:val="00FA7680"/>
    <w:rsid w:val="00FC1AB3"/>
    <w:rsid w:val="00FD1E10"/>
    <w:rsid w:val="00FD352A"/>
    <w:rsid w:val="00FF3E54"/>
    <w:rsid w:val="00FF3F6A"/>
    <w:rsid w:val="091C7F83"/>
    <w:rsid w:val="127F632E"/>
    <w:rsid w:val="19455E8C"/>
    <w:rsid w:val="1C727FE5"/>
    <w:rsid w:val="1FA96EAC"/>
    <w:rsid w:val="280705CC"/>
    <w:rsid w:val="28795411"/>
    <w:rsid w:val="2AC8056F"/>
    <w:rsid w:val="2E5510D8"/>
    <w:rsid w:val="34897199"/>
    <w:rsid w:val="36A31871"/>
    <w:rsid w:val="40DD55A1"/>
    <w:rsid w:val="48FC57B7"/>
    <w:rsid w:val="4A085F45"/>
    <w:rsid w:val="4B377520"/>
    <w:rsid w:val="4B627F07"/>
    <w:rsid w:val="4BF95A96"/>
    <w:rsid w:val="4ECA1132"/>
    <w:rsid w:val="4F966AC4"/>
    <w:rsid w:val="5F126919"/>
    <w:rsid w:val="5FFE3695"/>
    <w:rsid w:val="62BC0FBA"/>
    <w:rsid w:val="68847183"/>
    <w:rsid w:val="68B657BB"/>
    <w:rsid w:val="6A565C8F"/>
    <w:rsid w:val="709F4837"/>
    <w:rsid w:val="76C6460E"/>
    <w:rsid w:val="79717719"/>
    <w:rsid w:val="7C66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widowControl/>
      <w:snapToGrid w:val="0"/>
      <w:spacing w:line="360" w:lineRule="auto"/>
      <w:ind w:left="-6" w:hanging="11"/>
      <w:jc w:val="left"/>
      <w:outlineLvl w:val="1"/>
    </w:pPr>
    <w:rPr>
      <w:rFonts w:ascii="Arial" w:hAnsi="Arial"/>
      <w:b/>
      <w:sz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27"/>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3">
    <w:name w:val="Body Text"/>
    <w:basedOn w:val="1"/>
    <w:next w:val="1"/>
    <w:link w:val="31"/>
    <w:qFormat/>
    <w:uiPriority w:val="0"/>
    <w:pPr>
      <w:pBdr>
        <w:top w:val="single" w:color="auto" w:sz="12" w:space="1"/>
        <w:left w:val="single" w:color="auto" w:sz="12" w:space="4"/>
        <w:bottom w:val="single" w:color="auto" w:sz="12" w:space="1"/>
        <w:right w:val="single" w:color="auto" w:sz="12" w:space="4"/>
      </w:pBdr>
    </w:pPr>
    <w:rPr>
      <w:rFonts w:asciiTheme="minorHAnsi" w:hAnsiTheme="minorHAnsi" w:eastAsiaTheme="minorEastAsia" w:cstheme="minorBidi"/>
      <w:sz w:val="30"/>
    </w:rPr>
  </w:style>
  <w:style w:type="paragraph" w:styleId="6">
    <w:name w:val="Normal Indent"/>
    <w:basedOn w:val="1"/>
    <w:next w:val="1"/>
    <w:qFormat/>
    <w:uiPriority w:val="0"/>
    <w:pPr>
      <w:tabs>
        <w:tab w:val="left" w:pos="2100"/>
      </w:tabs>
      <w:ind w:firstLine="521" w:firstLineChars="194"/>
    </w:pPr>
    <w:rPr>
      <w:rFonts w:ascii="宋体" w:hAnsi="宋体"/>
    </w:rPr>
  </w:style>
  <w:style w:type="paragraph" w:styleId="7">
    <w:name w:val="annotation text"/>
    <w:basedOn w:val="1"/>
    <w:link w:val="26"/>
    <w:qFormat/>
    <w:uiPriority w:val="0"/>
    <w:pPr>
      <w:jc w:val="left"/>
    </w:pPr>
    <w:rPr>
      <w:rFonts w:asciiTheme="minorHAnsi" w:hAnsiTheme="minorHAnsi" w:eastAsiaTheme="minorEastAsia" w:cstheme="minorBidi"/>
    </w:rPr>
  </w:style>
  <w:style w:type="paragraph" w:styleId="8">
    <w:name w:val="Body Text 3"/>
    <w:basedOn w:val="1"/>
    <w:link w:val="32"/>
    <w:qFormat/>
    <w:uiPriority w:val="0"/>
    <w:rPr>
      <w:rFonts w:ascii="宋体" w:hAnsi="Calibri" w:eastAsiaTheme="minorEastAsia" w:cstheme="minorBidi"/>
      <w:sz w:val="24"/>
      <w:szCs w:val="22"/>
    </w:rPr>
  </w:style>
  <w:style w:type="paragraph" w:styleId="9">
    <w:name w:val="Body Text Indent"/>
    <w:basedOn w:val="1"/>
    <w:link w:val="35"/>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Body Text Indent 2"/>
    <w:basedOn w:val="1"/>
    <w:link w:val="34"/>
    <w:qFormat/>
    <w:uiPriority w:val="0"/>
    <w:pPr>
      <w:ind w:firstLine="560" w:firstLineChars="200"/>
    </w:pPr>
    <w:rPr>
      <w:sz w:val="28"/>
    </w:rPr>
  </w:style>
  <w:style w:type="paragraph" w:styleId="11">
    <w:name w:val="Balloon Text"/>
    <w:basedOn w:val="1"/>
    <w:link w:val="38"/>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3"/>
    <w:qFormat/>
    <w:uiPriority w:val="0"/>
    <w:pPr>
      <w:adjustRightInd w:val="0"/>
      <w:spacing w:after="120" w:line="480" w:lineRule="auto"/>
      <w:jc w:val="left"/>
      <w:textAlignment w:val="baseline"/>
    </w:pPr>
    <w:rPr>
      <w:kern w:val="0"/>
      <w:sz w:val="24"/>
      <w:szCs w:val="20"/>
    </w:rPr>
  </w:style>
  <w:style w:type="paragraph" w:styleId="15">
    <w:name w:val="annotation subject"/>
    <w:basedOn w:val="7"/>
    <w:next w:val="7"/>
    <w:link w:val="29"/>
    <w:qFormat/>
    <w:uiPriority w:val="0"/>
    <w:rPr>
      <w:b/>
      <w:bCs/>
    </w:rPr>
  </w:style>
  <w:style w:type="paragraph" w:styleId="16">
    <w:name w:val="Body Text First Indent 2"/>
    <w:basedOn w:val="9"/>
    <w:next w:val="10"/>
    <w:link w:val="53"/>
    <w:unhideWhenUsed/>
    <w:qFormat/>
    <w:uiPriority w:val="99"/>
    <w:pPr>
      <w:pBdr>
        <w:top w:val="none" w:color="auto" w:sz="0" w:space="0"/>
        <w:left w:val="none" w:color="auto" w:sz="0" w:space="0"/>
        <w:bottom w:val="none" w:color="auto" w:sz="0" w:space="0"/>
        <w:right w:val="none" w:color="auto" w:sz="0" w:space="0"/>
      </w:pBdr>
      <w:spacing w:after="120" w:line="440" w:lineRule="exact"/>
      <w:ind w:left="420" w:leftChars="200" w:firstLine="42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563C1"/>
      <w:u w:val="single"/>
    </w:rPr>
  </w:style>
  <w:style w:type="character" w:styleId="23">
    <w:name w:val="annotation reference"/>
    <w:qFormat/>
    <w:uiPriority w:val="0"/>
    <w:rPr>
      <w:sz w:val="21"/>
      <w:szCs w:val="21"/>
    </w:rPr>
  </w:style>
  <w:style w:type="character" w:customStyle="1" w:styleId="24">
    <w:name w:val="标题 2 字符"/>
    <w:basedOn w:val="19"/>
    <w:link w:val="5"/>
    <w:qFormat/>
    <w:uiPriority w:val="0"/>
    <w:rPr>
      <w:rFonts w:ascii="Arial" w:hAnsi="Arial" w:eastAsia="宋体" w:cs="Times New Roman"/>
      <w:b/>
      <w:sz w:val="24"/>
      <w:szCs w:val="24"/>
    </w:rPr>
  </w:style>
  <w:style w:type="character" w:customStyle="1" w:styleId="25">
    <w:name w:val="font11"/>
    <w:basedOn w:val="19"/>
    <w:qFormat/>
    <w:uiPriority w:val="0"/>
    <w:rPr>
      <w:rFonts w:hint="eastAsia" w:ascii="宋体" w:hAnsi="宋体" w:eastAsia="宋体" w:cs="宋体"/>
      <w:color w:val="000000"/>
      <w:sz w:val="24"/>
      <w:szCs w:val="24"/>
      <w:u w:val="none"/>
    </w:rPr>
  </w:style>
  <w:style w:type="character" w:customStyle="1" w:styleId="26">
    <w:name w:val="批注文字 字符"/>
    <w:link w:val="7"/>
    <w:qFormat/>
    <w:uiPriority w:val="0"/>
    <w:rPr>
      <w:szCs w:val="24"/>
    </w:rPr>
  </w:style>
  <w:style w:type="character" w:customStyle="1" w:styleId="27">
    <w:name w:val="正文文本首行缩进 字符"/>
    <w:link w:val="2"/>
    <w:qFormat/>
    <w:uiPriority w:val="99"/>
    <w:rPr>
      <w:rFonts w:ascii="Calibri" w:hAnsi="Calibri"/>
      <w:szCs w:val="24"/>
    </w:rPr>
  </w:style>
  <w:style w:type="character" w:customStyle="1" w:styleId="28">
    <w:name w:val="正文文本 3 Char1"/>
    <w:qFormat/>
    <w:uiPriority w:val="0"/>
    <w:rPr>
      <w:kern w:val="2"/>
      <w:sz w:val="16"/>
      <w:szCs w:val="16"/>
    </w:rPr>
  </w:style>
  <w:style w:type="character" w:customStyle="1" w:styleId="29">
    <w:name w:val="批注主题 字符"/>
    <w:link w:val="15"/>
    <w:qFormat/>
    <w:uiPriority w:val="0"/>
    <w:rPr>
      <w:b/>
      <w:bCs/>
      <w:szCs w:val="24"/>
    </w:rPr>
  </w:style>
  <w:style w:type="character" w:customStyle="1" w:styleId="30">
    <w:name w:val="页脚 字符"/>
    <w:link w:val="12"/>
    <w:qFormat/>
    <w:uiPriority w:val="99"/>
    <w:rPr>
      <w:sz w:val="18"/>
      <w:szCs w:val="18"/>
    </w:rPr>
  </w:style>
  <w:style w:type="character" w:customStyle="1" w:styleId="31">
    <w:name w:val="正文文本 字符"/>
    <w:link w:val="3"/>
    <w:qFormat/>
    <w:uiPriority w:val="0"/>
    <w:rPr>
      <w:sz w:val="30"/>
      <w:szCs w:val="24"/>
    </w:rPr>
  </w:style>
  <w:style w:type="character" w:customStyle="1" w:styleId="32">
    <w:name w:val="正文文本 3 字符"/>
    <w:link w:val="8"/>
    <w:qFormat/>
    <w:uiPriority w:val="0"/>
    <w:rPr>
      <w:rFonts w:ascii="宋体" w:hAnsi="Calibri"/>
      <w:sz w:val="24"/>
    </w:rPr>
  </w:style>
  <w:style w:type="character" w:customStyle="1" w:styleId="33">
    <w:name w:val="正文文本 Char1"/>
    <w:basedOn w:val="19"/>
    <w:semiHidden/>
    <w:qFormat/>
    <w:uiPriority w:val="99"/>
    <w:rPr>
      <w:rFonts w:ascii="Times New Roman" w:hAnsi="Times New Roman" w:eastAsia="宋体" w:cs="Times New Roman"/>
      <w:szCs w:val="24"/>
    </w:rPr>
  </w:style>
  <w:style w:type="character" w:customStyle="1" w:styleId="34">
    <w:name w:val="正文文本缩进 2 字符"/>
    <w:basedOn w:val="19"/>
    <w:link w:val="10"/>
    <w:qFormat/>
    <w:uiPriority w:val="0"/>
    <w:rPr>
      <w:rFonts w:ascii="Times New Roman" w:hAnsi="Times New Roman" w:eastAsia="宋体" w:cs="Times New Roman"/>
      <w:sz w:val="28"/>
      <w:szCs w:val="24"/>
    </w:rPr>
  </w:style>
  <w:style w:type="character" w:customStyle="1" w:styleId="35">
    <w:name w:val="正文文本缩进 字符"/>
    <w:basedOn w:val="19"/>
    <w:link w:val="9"/>
    <w:qFormat/>
    <w:uiPriority w:val="0"/>
    <w:rPr>
      <w:rFonts w:ascii="Times New Roman" w:hAnsi="Times New Roman" w:eastAsia="宋体" w:cs="Times New Roman"/>
      <w:sz w:val="30"/>
      <w:szCs w:val="24"/>
    </w:rPr>
  </w:style>
  <w:style w:type="character" w:customStyle="1" w:styleId="36">
    <w:name w:val="页眉 字符"/>
    <w:basedOn w:val="19"/>
    <w:link w:val="13"/>
    <w:qFormat/>
    <w:uiPriority w:val="0"/>
    <w:rPr>
      <w:rFonts w:ascii="Times New Roman" w:hAnsi="Times New Roman" w:eastAsia="宋体" w:cs="Times New Roman"/>
      <w:sz w:val="18"/>
      <w:szCs w:val="18"/>
    </w:rPr>
  </w:style>
  <w:style w:type="character" w:customStyle="1" w:styleId="37">
    <w:name w:val="正文文本 3 Char2"/>
    <w:basedOn w:val="19"/>
    <w:semiHidden/>
    <w:qFormat/>
    <w:uiPriority w:val="99"/>
    <w:rPr>
      <w:rFonts w:ascii="Times New Roman" w:hAnsi="Times New Roman" w:eastAsia="宋体" w:cs="Times New Roman"/>
      <w:sz w:val="16"/>
      <w:szCs w:val="16"/>
    </w:rPr>
  </w:style>
  <w:style w:type="character" w:customStyle="1" w:styleId="38">
    <w:name w:val="批注框文本 字符"/>
    <w:basedOn w:val="19"/>
    <w:link w:val="11"/>
    <w:semiHidden/>
    <w:qFormat/>
    <w:uiPriority w:val="0"/>
    <w:rPr>
      <w:rFonts w:ascii="Times New Roman" w:hAnsi="Times New Roman" w:eastAsia="宋体" w:cs="Times New Roman"/>
      <w:sz w:val="18"/>
      <w:szCs w:val="18"/>
    </w:rPr>
  </w:style>
  <w:style w:type="character" w:customStyle="1" w:styleId="39">
    <w:name w:val="正文首行缩进 Char1"/>
    <w:basedOn w:val="33"/>
    <w:semiHidden/>
    <w:qFormat/>
    <w:uiPriority w:val="99"/>
    <w:rPr>
      <w:rFonts w:ascii="Times New Roman" w:hAnsi="Times New Roman" w:eastAsia="宋体" w:cs="Times New Roman"/>
      <w:szCs w:val="24"/>
    </w:rPr>
  </w:style>
  <w:style w:type="character" w:customStyle="1" w:styleId="40">
    <w:name w:val="批注文字 Char1"/>
    <w:basedOn w:val="19"/>
    <w:semiHidden/>
    <w:qFormat/>
    <w:uiPriority w:val="99"/>
    <w:rPr>
      <w:rFonts w:ascii="Times New Roman" w:hAnsi="Times New Roman" w:eastAsia="宋体" w:cs="Times New Roman"/>
      <w:szCs w:val="24"/>
    </w:rPr>
  </w:style>
  <w:style w:type="character" w:customStyle="1" w:styleId="41">
    <w:name w:val="页脚 Char1"/>
    <w:basedOn w:val="19"/>
    <w:semiHidden/>
    <w:qFormat/>
    <w:uiPriority w:val="99"/>
    <w:rPr>
      <w:rFonts w:ascii="Times New Roman" w:hAnsi="Times New Roman" w:eastAsia="宋体" w:cs="Times New Roman"/>
      <w:sz w:val="18"/>
      <w:szCs w:val="18"/>
    </w:rPr>
  </w:style>
  <w:style w:type="character" w:customStyle="1" w:styleId="42">
    <w:name w:val="批注主题 Char1"/>
    <w:basedOn w:val="40"/>
    <w:semiHidden/>
    <w:qFormat/>
    <w:uiPriority w:val="99"/>
    <w:rPr>
      <w:rFonts w:ascii="Times New Roman" w:hAnsi="Times New Roman" w:eastAsia="宋体" w:cs="Times New Roman"/>
      <w:b/>
      <w:bCs/>
      <w:szCs w:val="24"/>
    </w:rPr>
  </w:style>
  <w:style w:type="character" w:customStyle="1" w:styleId="43">
    <w:name w:val="正文文本 2 字符"/>
    <w:basedOn w:val="19"/>
    <w:link w:val="14"/>
    <w:qFormat/>
    <w:uiPriority w:val="0"/>
    <w:rPr>
      <w:rFonts w:ascii="Times New Roman" w:hAnsi="Times New Roman" w:eastAsia="宋体" w:cs="Times New Roman"/>
      <w:kern w:val="0"/>
      <w:sz w:val="24"/>
      <w:szCs w:val="20"/>
    </w:rPr>
  </w:style>
  <w:style w:type="paragraph" w:customStyle="1" w:styleId="4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5">
    <w:name w:val="Table Paragraph"/>
    <w:basedOn w:val="1"/>
    <w:qFormat/>
    <w:uiPriority w:val="0"/>
    <w:pPr>
      <w:autoSpaceDE w:val="0"/>
      <w:autoSpaceDN w:val="0"/>
      <w:adjustRightInd w:val="0"/>
      <w:jc w:val="left"/>
    </w:pPr>
    <w:rPr>
      <w:kern w:val="0"/>
      <w:sz w:val="24"/>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table" w:customStyle="1" w:styleId="48">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样式 首行缩进:  2 字符"/>
    <w:basedOn w:val="1"/>
    <w:qFormat/>
    <w:uiPriority w:val="0"/>
    <w:pPr>
      <w:ind w:firstLine="420" w:firstLineChars="200"/>
    </w:pPr>
    <w:rPr>
      <w:rFonts w:asciiTheme="minorHAnsi" w:hAnsiTheme="minorHAnsi" w:eastAsiaTheme="minorEastAsia" w:cstheme="minorBidi"/>
      <w:sz w:val="24"/>
      <w:szCs w:val="20"/>
    </w:rPr>
  </w:style>
  <w:style w:type="paragraph" w:customStyle="1" w:styleId="50">
    <w:name w:val="_Style 29"/>
    <w:basedOn w:val="1"/>
    <w:next w:val="1"/>
    <w:qFormat/>
    <w:uiPriority w:val="99"/>
    <w:pPr>
      <w:ind w:firstLine="420" w:firstLineChars="200"/>
    </w:pPr>
    <w:rPr>
      <w:rFonts w:asciiTheme="minorHAnsi" w:hAnsiTheme="minorHAnsi" w:eastAsiaTheme="minorEastAsia" w:cstheme="minorBidi"/>
    </w:rPr>
  </w:style>
  <w:style w:type="paragraph" w:customStyle="1" w:styleId="51">
    <w:name w:val="Char Char Char Char Char Char Char Char Char Char"/>
    <w:basedOn w:val="1"/>
    <w:qFormat/>
    <w:uiPriority w:val="0"/>
    <w:pPr>
      <w:widowControl/>
      <w:spacing w:after="160" w:line="240" w:lineRule="exact"/>
      <w:jc w:val="left"/>
    </w:pPr>
    <w:rPr>
      <w:szCs w:val="20"/>
    </w:rPr>
  </w:style>
  <w:style w:type="character" w:customStyle="1" w:styleId="52">
    <w:name w:val="标题 1 字符"/>
    <w:basedOn w:val="19"/>
    <w:link w:val="4"/>
    <w:qFormat/>
    <w:uiPriority w:val="9"/>
    <w:rPr>
      <w:rFonts w:ascii="Times New Roman" w:hAnsi="Times New Roman" w:eastAsia="宋体" w:cs="Times New Roman"/>
      <w:b/>
      <w:bCs/>
      <w:kern w:val="44"/>
      <w:sz w:val="44"/>
      <w:szCs w:val="44"/>
    </w:rPr>
  </w:style>
  <w:style w:type="character" w:customStyle="1" w:styleId="53">
    <w:name w:val="正文文本首行缩进 2 字符"/>
    <w:basedOn w:val="35"/>
    <w:link w:val="16"/>
    <w:qFormat/>
    <w:uiPriority w:val="99"/>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8FB39-958F-4B57-A51F-DB0A703C5C78}">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3073</Words>
  <Characters>17520</Characters>
  <Lines>146</Lines>
  <Paragraphs>41</Paragraphs>
  <TotalTime>172</TotalTime>
  <ScaleCrop>false</ScaleCrop>
  <LinksUpToDate>false</LinksUpToDate>
  <CharactersWithSpaces>20552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2022-04-07T00:44:00Z</dcterms:created>
  <dc:creator>罗青青</dc:creator>
  <cp:lastModifiedBy>周泠</cp:lastModifiedBy>
  <cp:lastPrinted>2022-04-07T07:23:00Z</cp:lastPrinted>
  <dcterms:modified xsi:type="dcterms:W3CDTF">2022-04-08T02:44:19Z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CA69EB8A6040452DB185F021E2F50594</vt:lpwstr>
  </property>
</Properties>
</file>