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center"/>
        <w:textAlignment w:val="auto"/>
        <w:rPr>
          <w:rFonts w:hint="eastAsia" w:ascii="黑体" w:hAnsi="黑体" w:eastAsia="黑体" w:cs="黑体"/>
          <w:b w:val="0"/>
          <w:bCs w:val="0"/>
          <w:sz w:val="32"/>
          <w:szCs w:val="32"/>
          <w:u w:val="none"/>
          <w:lang w:val="en-US" w:eastAsia="zh-CN"/>
        </w:rPr>
      </w:pPr>
      <w:bookmarkStart w:id="0" w:name="_Toc30072_WPSOffice_Level1"/>
      <w:r>
        <w:rPr>
          <w:rFonts w:hint="eastAsia" w:ascii="黑体" w:hAnsi="黑体" w:eastAsia="黑体" w:cs="黑体"/>
          <w:b w:val="0"/>
          <w:bCs w:val="0"/>
          <w:sz w:val="32"/>
          <w:szCs w:val="32"/>
          <w:u w:val="none"/>
          <w:lang w:val="en-US" w:eastAsia="zh-CN"/>
        </w:rPr>
        <w:t>用户需求书</w:t>
      </w:r>
      <w:bookmarkEnd w:id="0"/>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一、项目概况</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杭州至海宁城际铁路工程盐官车辆基地控制中心、运用库、盐官站通风空调设计方案中，部分房间未设空调器或设置空调容量不合理，夏季时温度过高，不利于设备及相关备件的运行和存储，需在以下房间加装空调，以满足设备及备件运行储存的工况要求。需加装空调的房间分别为：控制中心通信电源室、控制中心通信工班材料间、控制中心自动化工班材料间、运用库信号车辆段材料间、盐官站信号材料室。供货周期为自合同签订之日起30日内完成供货（具体进</w:t>
      </w:r>
      <w:bookmarkStart w:id="1" w:name="_GoBack"/>
      <w:bookmarkEnd w:id="1"/>
      <w:r>
        <w:rPr>
          <w:rFonts w:hint="eastAsia" w:asciiTheme="minorEastAsia" w:hAnsiTheme="minorEastAsia" w:eastAsiaTheme="minorEastAsia" w:cstheme="minorEastAsia"/>
          <w:b w:val="0"/>
          <w:bCs w:val="0"/>
          <w:sz w:val="24"/>
          <w:szCs w:val="24"/>
          <w:u w:val="none"/>
          <w:lang w:val="en-US" w:eastAsia="zh-CN"/>
        </w:rPr>
        <w:t>场时间以海宁运营公司通知为准）。</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二、采购内容</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default"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详见附件1采购清单</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default"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三、产品技术参数及安装要求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1.多联式空调系统</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1.1系统配置</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控制中心（共四层，楼高20.65m）系统采用1台12P外机拖4台5.6KW制冷量（约2.5P）室内机，其中位于二层控制中心自动化工班材料间因面积较大设置2台5.6kw室内机，其余2处房间（均在一层）各设置1台室内机，各分支管路与主管采用分歧器连接，室内机采用吊式安装，内机采用线控器控制方式，室外机安装于控制中心楼顶（室外机采用现有混凝土基础，无需额外砌筑）（详见附件2控制中心平面图）。</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1.2系统电源</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控制中心：根据空调负荷情况，核查现有电控柜预留电源，电源可取控制中心四层配电室动力配电箱AP-DWJ2回路编号AP-DWJ2-4，外机电缆通过桥架走向为：配电室-楼顶-空调外机，内机电源取自一、二层楼配电间。</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1.3设备参数</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多联机室外机制冷能力：额定制冷量不少于12P。</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机组应采用直流全变频双转子或涡旋压缩机，可在15%-130%之间变频调节，既室外机消耗的功率与室内机开启的数量成正比。当只有部分室内机开启时，室外机则通过降低频率、减少制冷剂流量，使功率降低。每1台室内机具备可以根据房间的要求进行独立的制冷或制热的运转能力，压缩机可按照负载的大小调整制冷或制热的容量。</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设备以及相关设备的起停顺序：母机能量控制压缩机→母机标准控制压缩机→子机标准控制压缩机。</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变冷媒流量多联空调应采用国际知名品牌。压缩机与响应品牌一致；室外机组放置于指定室外机机台处，摆放方式为并列摆放；日晒雨淋的条件下正常工作（每日不少于24小时）。</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冷媒采用R410a，能效等级为1级。</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冷媒管长度极限尺寸不小于200米，室内、外机高差极限尺寸不小于50米、第一分支后不小于90米。</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室内机采用低噪音风机。室内机高速运转时噪音不大于45dB(A)，室外机噪音小于68dB(A)。</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室内机采用四面出风吊式安装，安装方式不得有更改。提供设备对吊顶龙骨布置要求，室内机具备四档静压调节。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室内机带有冷凝水提升泵，并提供功率，注明提升高度（范围500-850mm），能避免冷凝水回流。室内机排出的冷凝水，集中排放。</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每台室内机均有线控器，用线控器实现每台室内机的单独开停控制、调节温度和风速风向，室内温度控制精度在±0.5℃。当室内机任意单元发生故障时不影响其他室内单元的正常工作；室内控制器必须采用中文界面，并操作简便。</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空调室外机具有良好的防尘、防雨、防腐和安全防护性能（高压开关、风扇电机安全温控器、过载保护器、过电流继电器、易熔塞）。</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空调机组的IPLV值必须大于5.5，并提供夏季冬季标准工况cop值，中国能效网上数据下载为准。</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压缩机有良好的润滑保障。</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系统具有制冷剂泄漏保护功能。</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压缩机出现故障时可互为备用。</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使用380/220V，50Hz,交流电，三相五线制。</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在供电系统突然断电的情况下，设备具有来电自动重新启动的功能和断电保护功能。</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1.4安装要求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本系统须按照电气规范进行防雷与接地。</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所有的线路和管道接好或重新接好并检查合格后，才允许通电。</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系统控制器须垂直安装且安装地点不应处于阳光直射、靠近窗户或暴露于室外大气之中。</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电源电缆必须采用低烟无卤阻燃电缆。</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冷媒管保温采用难燃B1级橡塑保温。保温厚度可参照，室内厚度不小于30mm，室外不小于50mm，或参照产品要求。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冷凝水采用镀锌钢管，并采取防结露保温，保温层厚度不小于20mm。</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2.分体空调</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2.1系统配置</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运用库信号车辆段材料间（原车载设备工区材料库）系统采用1台3P挂机制冷量7.2kw单体空调，室内机采用四面出风，外机安装于运用库主跨地面。</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盐官站信号材料室系统采用1台1P挂机拖制冷量2.6kw单体空调，外机安装于该房间对应室外，外机采用密百叶围栏围护。</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2.2系统电源</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运用库：电源就近取运用库一层主跨检修插座配电箱。</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盐官站：电源就近取照明配电室AP-HH07-C-VRVW配电箱WP6回路。</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2.3设备参数</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空调器分别采用壁挂式2.5KW制冷量空调器和天花机7.2KW制冷量空调器，空调器需采用环保制冷剂，空调器实测制冷量、制热量不应小于额定值的95％。</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测定空调器的输入功率、电流，其实测制冷消耗功率、制热量消耗功率不应大于额定值的110％。</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空调器仓储、使用环境条件及使用寿命室外机应满足在环境温度43℃、相对湿度98%、日晒雨淋的条件下连续正常运行。空调器室外机应能在环境温度-20℃～45℃、相对湿度10%～100%的仓储条件下储存后，仍能正常起动和运行。</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空调器的使用寿命应不少于10年。其中压缩机的质保期应不少于5年。</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空调器应符合有关规范要求，并应按规定程序批准的图样和技术条件制造。室内室外机间的冷媒接管的长度应满足安装要求，所提供空调器的制冷量应是指在考虑了室内室外机间冷媒的接管长度及室外环境等因素后经过修正后能提供给房间的实际制冷量。</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要求三匹(约7.5KW)三相分体空调器须采用商用空调压缩机。</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挂壁式室内机应配液晶显示的无线控制器、天花空调器配遥控器，操作使用应简单，温度应可在18℃～30℃范围调节，并可检测房间温度。</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带遥控器的空调需在对应房间内安装放置遥控器的专用收纳盒。</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空调器应具有以下保护性能： 压缩机高压保护、蒸发器防冻结保护、压缩机低压保护、压缩机排气温度过高保护、过电流保护。</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噪声：1P空调室内机噪声不大于55dB，室外机噪声不大于59dB；3P空调室内机噪声不大于62dB，室外机噪声不大于68dB。</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能效比（EER）：1P空调能效比不小于3.6；3P空调不小于3.08。</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2.4安装要求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室外空调器的出风口不应对准强风吹送的方向，也不应在前面有障碍物造成气流短路。</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制冷剂管路超过原机管路长度时应加设延长管，并按规定补充制冷剂。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管路连接后一定要将系统内得空气排净。</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室外机需使用专用支架固定良好，盐官站室外机需安装紧固的百叶围栏。</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室外机百叶围栏采用铝合金材质，4面灰色，尺寸不小于1200mm*1500mm*700mm（长*宽*高）。</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当需要在外墙上开孔时必须做好封堵工作。</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default"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四、供货要求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本项目供货要求包括但不限于以下内容：</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（1）空调室内机、室外机等设备的采购、供货、运输、安装、调试、运行等；</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（2）空调室内、外机之间的冷媒管配管及保温施工；</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（3）室内外机电源线、信号传输线的配管及穿线；</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（4）冷凝水管路的敷设和通水实验；</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（5）空调系统调试运转。</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五、质量要求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1.货物应符合中国政府颁布的最新产品质量、技术、安全标准及环保标准，拟供货产品需满足（等于或者优于）项目清单物资描述的技术参数要求。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2.加装空调主要技术指标与盐官车辆基地现有设备相同。</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六、安全要求</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default"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空调加装包含内外机电源线路敷设施工，电源由指定配电箱获取。在合同履约期间，因成交供应商自身原因引发的其他设施设备破损、损坏等事故、事件，由成交供应商承担一切责任和经济损失，并应负责由此引起的民事赔偿。</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七、质量保证期</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质保期为从整个设备系统通过验收之日起计2年。</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八、售后服务</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1.在质保期内，如因成交供应商责任需要调换或修理设备，有关设备的质保期应重新计算。</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2.提供质保期内系统日常维护、维修和管理，并应列出详细的维护管理方案、人员配备、维修标准。成交供应商须提供质保期内设备日常定期维护保养服务所需的人员和材料，同时应提供7×24小时的紧急维修服务。</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九、技术培训</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1.提供相应的培训或操作手册，操作手册应为操作人员在系统的操作和检查提供指导。操作手册应至少包括以下内容：系统概述、主要功能说明、操作指南、故障状态。</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u w:val="none"/>
          <w:lang w:val="en-US" w:eastAsia="zh-CN"/>
        </w:rPr>
        <w:sectPr>
          <w:pgSz w:w="11906" w:h="16838"/>
          <w:pgMar w:top="1701" w:right="1417" w:bottom="1417" w:left="1474" w:header="850" w:footer="850" w:gutter="0"/>
          <w:pgNumType w:fmt="numberInDash"/>
          <w:cols w:space="0" w:num="1"/>
          <w:rtlGutter w:val="0"/>
          <w:docGrid w:type="lines" w:linePitch="442" w:charSpace="0"/>
        </w:sectPr>
      </w:pPr>
      <w:r>
        <w:rPr>
          <w:rFonts w:hint="eastAsia" w:asciiTheme="minorEastAsia" w:hAnsiTheme="minorEastAsia" w:eastAsiaTheme="minorEastAsia" w:cstheme="minorEastAsia"/>
          <w:b w:val="0"/>
          <w:bCs w:val="0"/>
          <w:sz w:val="24"/>
          <w:szCs w:val="24"/>
          <w:u w:val="none"/>
          <w:lang w:val="en-US" w:eastAsia="zh-CN"/>
        </w:rPr>
        <w:t>2.成交供应商提交的说明资料要对所规定的每一种设备及其如何操作予以阐述。该手册应包括所供设备配置的一般介绍，它的预期用途及其主要性能参数。只要涉及到人-机界面，该手册应一步一步地定义操作顺序，以及说明如何使用这些界面。手册应包括足够的图解以对所有控制和显示设备识别和定位。</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附件1：</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default"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采购清单</w:t>
      </w:r>
    </w:p>
    <w:tbl>
      <w:tblPr>
        <w:tblStyle w:val="9"/>
        <w:tblW w:w="9039" w:type="dxa"/>
        <w:tblInd w:w="0" w:type="dxa"/>
        <w:tblLayout w:type="fixed"/>
        <w:tblCellMar>
          <w:top w:w="0" w:type="dxa"/>
          <w:left w:w="0" w:type="dxa"/>
          <w:bottom w:w="0" w:type="dxa"/>
          <w:right w:w="0" w:type="dxa"/>
        </w:tblCellMar>
      </w:tblPr>
      <w:tblGrid>
        <w:gridCol w:w="685"/>
        <w:gridCol w:w="1238"/>
        <w:gridCol w:w="5978"/>
        <w:gridCol w:w="626"/>
        <w:gridCol w:w="512"/>
      </w:tblGrid>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b/>
                <w:bCs/>
                <w:color w:val="000000"/>
                <w:kern w:val="0"/>
                <w:sz w:val="21"/>
                <w:szCs w:val="21"/>
                <w:lang w:bidi="ar"/>
              </w:rPr>
            </w:pPr>
            <w:r>
              <w:rPr>
                <w:rFonts w:hint="eastAsia" w:asciiTheme="minorEastAsia" w:hAnsiTheme="minorEastAsia" w:eastAsiaTheme="minorEastAsia" w:cstheme="minorEastAsia"/>
                <w:b/>
                <w:bCs/>
                <w:color w:val="000000"/>
                <w:kern w:val="0"/>
                <w:sz w:val="21"/>
                <w:szCs w:val="21"/>
                <w:lang w:bidi="ar"/>
              </w:rPr>
              <w:t>序号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b/>
                <w:bCs/>
                <w:color w:val="000000"/>
                <w:kern w:val="0"/>
                <w:sz w:val="21"/>
                <w:szCs w:val="21"/>
                <w:lang w:bidi="ar"/>
              </w:rPr>
            </w:pPr>
            <w:r>
              <w:rPr>
                <w:rFonts w:hint="eastAsia" w:asciiTheme="minorEastAsia" w:hAnsiTheme="minorEastAsia" w:eastAsiaTheme="minorEastAsia" w:cstheme="minorEastAsia"/>
                <w:b/>
                <w:bCs/>
                <w:color w:val="000000"/>
                <w:kern w:val="0"/>
                <w:sz w:val="21"/>
                <w:szCs w:val="21"/>
                <w:lang w:val="en-US" w:eastAsia="zh-CN" w:bidi="ar"/>
              </w:rPr>
              <w:t>货物</w:t>
            </w:r>
            <w:r>
              <w:rPr>
                <w:rFonts w:hint="eastAsia" w:asciiTheme="minorEastAsia" w:hAnsiTheme="minorEastAsia" w:eastAsiaTheme="minorEastAsia" w:cstheme="minorEastAsia"/>
                <w:b/>
                <w:bCs/>
                <w:color w:val="000000"/>
                <w:kern w:val="0"/>
                <w:sz w:val="21"/>
                <w:szCs w:val="21"/>
                <w:lang w:bidi="ar"/>
              </w:rPr>
              <w:t>名称</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b/>
                <w:bCs/>
                <w:color w:val="000000"/>
                <w:kern w:val="0"/>
                <w:sz w:val="21"/>
                <w:szCs w:val="21"/>
                <w:lang w:eastAsia="zh-CN" w:bidi="ar"/>
              </w:rPr>
            </w:pPr>
            <w:r>
              <w:rPr>
                <w:rFonts w:hint="eastAsia" w:asciiTheme="minorEastAsia" w:hAnsiTheme="minorEastAsia" w:eastAsiaTheme="minorEastAsia" w:cstheme="minorEastAsia"/>
                <w:b/>
                <w:bCs/>
                <w:color w:val="000000"/>
                <w:kern w:val="0"/>
                <w:sz w:val="21"/>
                <w:szCs w:val="21"/>
                <w:lang w:val="en-US" w:eastAsia="zh-CN" w:bidi="ar"/>
              </w:rPr>
              <w:t>技术参数</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b/>
                <w:bCs/>
                <w:color w:val="000000"/>
                <w:kern w:val="0"/>
                <w:sz w:val="21"/>
                <w:szCs w:val="21"/>
                <w:lang w:bidi="ar"/>
              </w:rPr>
            </w:pPr>
            <w:r>
              <w:rPr>
                <w:rFonts w:hint="eastAsia" w:asciiTheme="minorEastAsia" w:hAnsiTheme="minorEastAsia" w:eastAsiaTheme="minorEastAsia" w:cstheme="minorEastAsia"/>
                <w:b/>
                <w:bCs/>
                <w:color w:val="000000"/>
                <w:kern w:val="0"/>
                <w:sz w:val="21"/>
                <w:szCs w:val="21"/>
                <w:lang w:bidi="ar"/>
              </w:rPr>
              <w:t>单位</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b/>
                <w:bCs/>
                <w:color w:val="000000"/>
                <w:kern w:val="0"/>
                <w:sz w:val="21"/>
                <w:szCs w:val="21"/>
                <w:lang w:bidi="ar"/>
              </w:rPr>
            </w:pPr>
            <w:r>
              <w:rPr>
                <w:rFonts w:hint="eastAsia" w:asciiTheme="minorEastAsia" w:hAnsiTheme="minorEastAsia" w:eastAsiaTheme="minorEastAsia" w:cstheme="minorEastAsia"/>
                <w:b/>
                <w:bCs/>
                <w:color w:val="000000"/>
                <w:kern w:val="0"/>
                <w:sz w:val="21"/>
                <w:szCs w:val="21"/>
                <w:lang w:bidi="ar"/>
              </w:rPr>
              <w:t>数量</w:t>
            </w:r>
          </w:p>
        </w:tc>
      </w:tr>
      <w:tr>
        <w:tblPrEx>
          <w:tblLayout w:type="fixed"/>
          <w:tblCellMar>
            <w:top w:w="0" w:type="dxa"/>
            <w:left w:w="0" w:type="dxa"/>
            <w:bottom w:w="0" w:type="dxa"/>
            <w:right w:w="0" w:type="dxa"/>
          </w:tblCellMar>
        </w:tblPrEx>
        <w:trPr>
          <w:trHeight w:val="103" w:hRule="atLeast"/>
        </w:trPr>
        <w:tc>
          <w:tcPr>
            <w:tcW w:w="903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both"/>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b/>
                <w:bCs/>
                <w:color w:val="000000"/>
                <w:kern w:val="0"/>
                <w:sz w:val="21"/>
                <w:szCs w:val="21"/>
                <w:lang w:val="en-US" w:eastAsia="zh-CN" w:bidi="ar"/>
              </w:rPr>
              <w:t>一、盐官车辆基地控制中心</w:t>
            </w:r>
          </w:p>
        </w:tc>
      </w:tr>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室外机</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7"/>
              <w:keepNext w:val="0"/>
              <w:keepLines w:val="0"/>
              <w:widowControl/>
              <w:suppressLineNumbers w:val="0"/>
              <w:ind w:left="0" w:firstLine="0"/>
              <w:jc w:val="left"/>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12P</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000000"/>
                <w:kern w:val="0"/>
                <w:sz w:val="21"/>
                <w:szCs w:val="21"/>
                <w:lang w:eastAsia="zh-CN" w:bidi="ar"/>
              </w:rPr>
              <w:t>详见</w:t>
            </w:r>
            <w:r>
              <w:rPr>
                <w:rFonts w:hint="eastAsia" w:asciiTheme="minorEastAsia" w:hAnsiTheme="minorEastAsia" w:eastAsiaTheme="minorEastAsia" w:cstheme="minorEastAsia"/>
                <w:color w:val="000000"/>
                <w:kern w:val="0"/>
                <w:sz w:val="21"/>
                <w:szCs w:val="21"/>
                <w:lang w:val="en-US" w:eastAsia="zh-CN" w:bidi="ar"/>
              </w:rPr>
              <w:t>1.3</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套</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val="en-US" w:eastAsia="zh-CN" w:bidi="ar"/>
              </w:rPr>
              <w:t>1</w:t>
            </w:r>
          </w:p>
        </w:tc>
      </w:tr>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室内机</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7"/>
              <w:keepNext w:val="0"/>
              <w:keepLines w:val="0"/>
              <w:widowControl/>
              <w:suppressLineNumbers w:val="0"/>
              <w:ind w:left="0" w:firstLine="0"/>
              <w:jc w:val="left"/>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sz w:val="21"/>
                <w:szCs w:val="21"/>
              </w:rPr>
              <w:t>制冷量5.6KW</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四面出风</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000000"/>
                <w:kern w:val="0"/>
                <w:sz w:val="21"/>
                <w:szCs w:val="21"/>
                <w:lang w:eastAsia="zh-CN" w:bidi="ar"/>
              </w:rPr>
              <w:t>详见</w:t>
            </w:r>
            <w:r>
              <w:rPr>
                <w:rFonts w:hint="eastAsia" w:asciiTheme="minorEastAsia" w:hAnsiTheme="minorEastAsia" w:eastAsiaTheme="minorEastAsia" w:cstheme="minorEastAsia"/>
                <w:color w:val="000000"/>
                <w:kern w:val="0"/>
                <w:sz w:val="21"/>
                <w:szCs w:val="21"/>
                <w:lang w:val="en-US" w:eastAsia="zh-CN" w:bidi="ar"/>
              </w:rPr>
              <w:t>1.3</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套</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val="en-US" w:eastAsia="zh-CN" w:bidi="ar"/>
              </w:rPr>
              <w:t>4</w:t>
            </w:r>
          </w:p>
        </w:tc>
      </w:tr>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eastAsia="zh-CN" w:bidi="ar"/>
              </w:rPr>
              <w:t>电缆</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Theme="minorEastAsia" w:hAnsiTheme="minorEastAsia" w:eastAsiaTheme="minorEastAsia" w:cstheme="minorEastAsia"/>
                <w:color w:val="000000"/>
                <w:kern w:val="0"/>
                <w:sz w:val="21"/>
                <w:szCs w:val="21"/>
                <w:lang w:val="en-US" w:bidi="ar"/>
              </w:rPr>
            </w:pPr>
            <w:r>
              <w:rPr>
                <w:rFonts w:hint="eastAsia" w:asciiTheme="minorEastAsia" w:hAnsiTheme="minorEastAsia" w:eastAsiaTheme="minorEastAsia" w:cstheme="minorEastAsia"/>
                <w:b w:val="0"/>
                <w:bCs w:val="0"/>
                <w:color w:val="000000"/>
                <w:kern w:val="0"/>
                <w:sz w:val="21"/>
                <w:szCs w:val="21"/>
                <w:lang w:val="en-US" w:eastAsia="zh-CN" w:bidi="ar"/>
              </w:rPr>
              <w:t>WDZB-YJY4*10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米</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100</w:t>
            </w:r>
          </w:p>
        </w:tc>
      </w:tr>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eastAsia="zh-CN" w:bidi="ar"/>
              </w:rPr>
              <w:t>电线</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WDZB-</w:t>
            </w:r>
            <w:r>
              <w:rPr>
                <w:rFonts w:hint="eastAsia" w:asciiTheme="minorEastAsia" w:hAnsiTheme="minorEastAsia" w:eastAsiaTheme="minorEastAsia" w:cstheme="minorEastAsia"/>
                <w:color w:val="000000"/>
                <w:kern w:val="0"/>
                <w:sz w:val="21"/>
                <w:szCs w:val="21"/>
                <w:lang w:bidi="ar"/>
              </w:rPr>
              <w:t>BYJ4</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米</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500</w:t>
            </w:r>
          </w:p>
        </w:tc>
      </w:tr>
      <w:tr>
        <w:tblPrEx>
          <w:tblLayout w:type="fixed"/>
          <w:tblCellMar>
            <w:top w:w="0" w:type="dxa"/>
            <w:left w:w="0" w:type="dxa"/>
            <w:bottom w:w="0" w:type="dxa"/>
            <w:right w:w="0" w:type="dxa"/>
          </w:tblCellMar>
        </w:tblPrEx>
        <w:trPr>
          <w:trHeight w:val="90" w:hRule="atLeast"/>
        </w:trPr>
        <w:tc>
          <w:tcPr>
            <w:tcW w:w="903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both"/>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b/>
                <w:bCs/>
                <w:color w:val="000000"/>
                <w:sz w:val="21"/>
                <w:szCs w:val="21"/>
                <w:lang w:val="en-US" w:eastAsia="zh-CN"/>
              </w:rPr>
              <w:t>二、</w:t>
            </w:r>
            <w:r>
              <w:rPr>
                <w:rFonts w:hint="eastAsia" w:asciiTheme="minorEastAsia" w:hAnsiTheme="minorEastAsia" w:eastAsiaTheme="minorEastAsia" w:cstheme="minorEastAsia"/>
                <w:b/>
                <w:bCs/>
                <w:color w:val="000000"/>
                <w:kern w:val="0"/>
                <w:sz w:val="21"/>
                <w:szCs w:val="21"/>
                <w:lang w:val="en-US" w:eastAsia="zh-CN" w:bidi="ar"/>
              </w:rPr>
              <w:t>盐官车辆基地运用库</w:t>
            </w:r>
          </w:p>
        </w:tc>
      </w:tr>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eastAsia="zh-CN" w:bidi="ar"/>
              </w:rPr>
              <w:t>单体空调</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eastAsia="zh-CN" w:bidi="ar"/>
              </w:rPr>
              <w:t>3P，天花机，详见</w:t>
            </w:r>
            <w:r>
              <w:rPr>
                <w:rFonts w:hint="eastAsia" w:asciiTheme="minorEastAsia" w:hAnsiTheme="minorEastAsia" w:eastAsiaTheme="minorEastAsia" w:cstheme="minorEastAsia"/>
                <w:color w:val="000000"/>
                <w:kern w:val="0"/>
                <w:sz w:val="21"/>
                <w:szCs w:val="21"/>
                <w:lang w:val="en-US" w:eastAsia="zh-CN" w:bidi="ar"/>
              </w:rPr>
              <w:t>2.3</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套</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w:t>
            </w:r>
          </w:p>
        </w:tc>
      </w:tr>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电线</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WDZB-</w:t>
            </w:r>
            <w:r>
              <w:rPr>
                <w:rFonts w:hint="eastAsia" w:asciiTheme="minorEastAsia" w:hAnsiTheme="minorEastAsia" w:eastAsiaTheme="minorEastAsia" w:cstheme="minorEastAsia"/>
                <w:color w:val="000000"/>
                <w:kern w:val="0"/>
                <w:sz w:val="21"/>
                <w:szCs w:val="21"/>
                <w:lang w:bidi="ar"/>
              </w:rPr>
              <w:t>BYJ4</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米</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100</w:t>
            </w:r>
          </w:p>
        </w:tc>
      </w:tr>
      <w:tr>
        <w:tblPrEx>
          <w:tblLayout w:type="fixed"/>
          <w:tblCellMar>
            <w:top w:w="0" w:type="dxa"/>
            <w:left w:w="0" w:type="dxa"/>
            <w:bottom w:w="0" w:type="dxa"/>
            <w:right w:w="0" w:type="dxa"/>
          </w:tblCellMar>
        </w:tblPrEx>
        <w:trPr>
          <w:trHeight w:val="90" w:hRule="atLeast"/>
        </w:trPr>
        <w:tc>
          <w:tcPr>
            <w:tcW w:w="903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both"/>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b/>
                <w:bCs/>
                <w:color w:val="000000"/>
                <w:sz w:val="21"/>
                <w:szCs w:val="21"/>
                <w:lang w:val="en-US" w:eastAsia="zh-CN"/>
              </w:rPr>
              <w:t>三、</w:t>
            </w:r>
            <w:r>
              <w:rPr>
                <w:rFonts w:hint="eastAsia" w:asciiTheme="minorEastAsia" w:hAnsiTheme="minorEastAsia" w:eastAsiaTheme="minorEastAsia" w:cstheme="minorEastAsia"/>
                <w:b/>
                <w:bCs/>
                <w:color w:val="000000"/>
                <w:kern w:val="0"/>
                <w:sz w:val="21"/>
                <w:szCs w:val="21"/>
                <w:lang w:val="en-US" w:eastAsia="zh-CN" w:bidi="ar"/>
              </w:rPr>
              <w:t>盐官站</w:t>
            </w:r>
          </w:p>
        </w:tc>
      </w:tr>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eastAsia="zh-CN" w:bidi="ar"/>
              </w:rPr>
              <w:t>单体空调</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eastAsia="zh-CN" w:bidi="ar"/>
              </w:rPr>
              <w:t>1P，挂机，详见</w:t>
            </w:r>
            <w:r>
              <w:rPr>
                <w:rFonts w:hint="eastAsia" w:asciiTheme="minorEastAsia" w:hAnsiTheme="minorEastAsia" w:eastAsiaTheme="minorEastAsia" w:cstheme="minorEastAsia"/>
                <w:color w:val="000000"/>
                <w:kern w:val="0"/>
                <w:sz w:val="21"/>
                <w:szCs w:val="21"/>
                <w:lang w:val="en-US" w:eastAsia="zh-CN" w:bidi="ar"/>
              </w:rPr>
              <w:t>2.3</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套</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w:t>
            </w:r>
          </w:p>
        </w:tc>
      </w:tr>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电线</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WDZB-</w:t>
            </w:r>
            <w:r>
              <w:rPr>
                <w:rFonts w:hint="eastAsia" w:asciiTheme="minorEastAsia" w:hAnsiTheme="minorEastAsia" w:eastAsiaTheme="minorEastAsia" w:cstheme="minorEastAsia"/>
                <w:color w:val="000000"/>
                <w:kern w:val="0"/>
                <w:sz w:val="21"/>
                <w:szCs w:val="21"/>
                <w:lang w:bidi="ar"/>
              </w:rPr>
              <w:t>BYJ4</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米</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200</w:t>
            </w:r>
          </w:p>
        </w:tc>
      </w:tr>
      <w:tr>
        <w:tblPrEx>
          <w:tblLayout w:type="fixed"/>
          <w:tblCellMar>
            <w:top w:w="0" w:type="dxa"/>
            <w:left w:w="0" w:type="dxa"/>
            <w:bottom w:w="0" w:type="dxa"/>
            <w:right w:w="0"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百叶围栏</w:t>
            </w:r>
          </w:p>
        </w:tc>
        <w:tc>
          <w:tcPr>
            <w:tcW w:w="5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铝合金四面，外框尺寸不小于1200mm*1500mm*700mm（长*宽*高）</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套</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w:t>
            </w:r>
          </w:p>
        </w:tc>
      </w:tr>
    </w:tbl>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both"/>
        <w:textAlignment w:val="auto"/>
        <w:rPr>
          <w:rFonts w:hint="eastAsia" w:asciiTheme="minorEastAsia" w:hAnsiTheme="minorEastAsia" w:eastAsiaTheme="minorEastAsia" w:cstheme="minorEastAsia"/>
          <w:b/>
          <w:bCs/>
          <w:sz w:val="24"/>
          <w:szCs w:val="24"/>
          <w:u w:val="none"/>
          <w:lang w:val="en-US" w:eastAsia="zh-CN"/>
        </w:rPr>
      </w:pP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both"/>
        <w:textAlignment w:val="auto"/>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附件2：</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rPr>
          <w:rFonts w:hint="default" w:asciiTheme="minorEastAsia" w:hAnsiTheme="minorEastAsia" w:eastAsiaTheme="minorEastAsia" w:cstheme="minorEastAsia"/>
          <w:b/>
          <w:bCs/>
          <w:sz w:val="24"/>
          <w:szCs w:val="24"/>
          <w:u w:val="none"/>
          <w:lang w:val="en-US" w:eastAsia="zh-CN"/>
        </w:rPr>
      </w:pPr>
      <w:r>
        <w:rPr>
          <w:rFonts w:hint="default" w:asciiTheme="minorEastAsia" w:hAnsiTheme="minorEastAsia" w:eastAsiaTheme="minorEastAsia" w:cstheme="minorEastAsia"/>
          <w:b/>
          <w:bCs/>
          <w:sz w:val="24"/>
          <w:szCs w:val="24"/>
          <w:u w:val="none"/>
          <w:lang w:val="en-US" w:eastAsia="zh-CN"/>
        </w:rPr>
        <w:t>控制中心平面图</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pPr>
      <w:r>
        <w:drawing>
          <wp:inline distT="0" distB="0" distL="114300" distR="114300">
            <wp:extent cx="4672330" cy="3302000"/>
            <wp:effectExtent l="0" t="0" r="1397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4672330" cy="3302000"/>
                    </a:xfrm>
                    <a:prstGeom prst="rect">
                      <a:avLst/>
                    </a:prstGeom>
                    <a:noFill/>
                    <a:ln>
                      <a:noFill/>
                    </a:ln>
                  </pic:spPr>
                </pic:pic>
              </a:graphicData>
            </a:graphic>
          </wp:inline>
        </w:drawing>
      </w:r>
    </w:p>
    <w:p>
      <w:pPr>
        <w:pStyle w:val="6"/>
        <w:bidi w:val="0"/>
        <w:ind w:left="0" w:leftChars="0" w:right="0" w:rightChars="0" w:firstLine="0" w:firstLineChars="0"/>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控制中心一层局部平面图</w:t>
      </w:r>
    </w:p>
    <w:p>
      <w:pPr>
        <w:pStyle w:val="4"/>
        <w:keepNext w:val="0"/>
        <w:keepLines w:val="0"/>
        <w:pageBreakBefore w:val="0"/>
        <w:widowControl w:val="0"/>
        <w:kinsoku/>
        <w:wordWrap/>
        <w:overflowPunct/>
        <w:topLinePunct w:val="0"/>
        <w:autoSpaceDE/>
        <w:autoSpaceDN/>
        <w:bidi w:val="0"/>
        <w:adjustRightInd/>
        <w:snapToGrid w:val="0"/>
        <w:spacing w:after="0" w:line="360" w:lineRule="auto"/>
        <w:ind w:left="0" w:leftChars="0" w:right="0" w:rightChars="0" w:firstLine="0" w:firstLineChars="0"/>
        <w:jc w:val="center"/>
        <w:textAlignment w:val="auto"/>
      </w:pPr>
      <w:r>
        <w:drawing>
          <wp:inline distT="0" distB="0" distL="114300" distR="114300">
            <wp:extent cx="5393055" cy="3070860"/>
            <wp:effectExtent l="0" t="0" r="17145"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5393055" cy="3070860"/>
                    </a:xfrm>
                    <a:prstGeom prst="rect">
                      <a:avLst/>
                    </a:prstGeom>
                    <a:noFill/>
                    <a:ln>
                      <a:noFill/>
                    </a:ln>
                  </pic:spPr>
                </pic:pic>
              </a:graphicData>
            </a:graphic>
          </wp:inline>
        </w:drawing>
      </w:r>
    </w:p>
    <w:p>
      <w:pPr>
        <w:pStyle w:val="6"/>
        <w:bidi w:val="0"/>
        <w:ind w:left="0" w:leftChars="0" w:right="0" w:rightChars="0" w:firstLine="0" w:firstLineChars="0"/>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控制中心二层局部平面图</w:t>
      </w:r>
    </w:p>
    <w:p/>
    <w:sectPr>
      <w:pgSz w:w="11906" w:h="16838"/>
      <w:pgMar w:top="1701" w:right="1417" w:bottom="1417" w:left="1474" w:header="851" w:footer="850" w:gutter="0"/>
      <w:cols w:space="0" w:num="1"/>
      <w:rtlGutter w:val="0"/>
      <w:docGrid w:type="linesAndChars" w:linePitch="312" w:charSpace="-28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4B4A61"/>
    <w:multiLevelType w:val="multilevel"/>
    <w:tmpl w:val="A64B4A61"/>
    <w:lvl w:ilvl="0" w:tentative="0">
      <w:start w:val="1"/>
      <w:numFmt w:val="upperRoman"/>
      <w:lvlText w:val="第 %1 条"/>
      <w:lvlJc w:val="left"/>
      <w:pPr>
        <w:ind w:left="0" w:firstLine="0"/>
      </w:pPr>
    </w:lvl>
    <w:lvl w:ilvl="1" w:tentative="0">
      <w:start w:val="1"/>
      <w:numFmt w:val="decimalZero"/>
      <w:pStyle w:val="2"/>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E12BD"/>
    <w:rsid w:val="39FC6681"/>
    <w:rsid w:val="41437EAC"/>
    <w:rsid w:val="431E12BD"/>
    <w:rsid w:val="5B2F1E0B"/>
    <w:rsid w:val="61527FBB"/>
    <w:rsid w:val="69885B84"/>
    <w:rsid w:val="75E1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仿宋_GB2312"/>
      <w:color w:val="000000" w:themeColor="text1"/>
      <w:kern w:val="2"/>
      <w:sz w:val="32"/>
      <w:szCs w:val="32"/>
      <w:lang w:val="en-US" w:eastAsia="zh-CN" w:bidi="ar-SA"/>
      <w14:textFill>
        <w14:solidFill>
          <w14:schemeClr w14:val="tx1"/>
        </w14:solidFill>
      </w14:textFill>
    </w:rPr>
  </w:style>
  <w:style w:type="paragraph" w:styleId="2">
    <w:name w:val="heading 2"/>
    <w:next w:val="1"/>
    <w:qFormat/>
    <w:uiPriority w:val="0"/>
    <w:pPr>
      <w:keepNext/>
      <w:keepLines/>
      <w:widowControl w:val="0"/>
      <w:numPr>
        <w:ilvl w:val="1"/>
        <w:numId w:val="1"/>
      </w:numPr>
      <w:spacing w:line="415" w:lineRule="auto"/>
      <w:jc w:val="left"/>
      <w:outlineLvl w:val="1"/>
    </w:pPr>
    <w:rPr>
      <w:rFonts w:ascii="Cambria" w:hAnsi="Cambria" w:eastAsia="Cambria" w:cs="Times New Roman"/>
      <w:bCs/>
      <w:kern w:val="2"/>
      <w:sz w:val="24"/>
      <w:szCs w:val="32"/>
      <w:lang w:val="en-US" w:eastAsia="zh-CN" w:bidi="ar-SA"/>
    </w:rPr>
  </w:style>
  <w:style w:type="paragraph" w:styleId="3">
    <w:name w:val="heading 3"/>
    <w:basedOn w:val="1"/>
    <w:next w:val="1"/>
    <w:unhideWhenUsed/>
    <w:qFormat/>
    <w:uiPriority w:val="0"/>
    <w:pPr>
      <w:keepNext/>
      <w:keepLines/>
      <w:spacing w:before="260" w:after="260" w:line="360" w:lineRule="auto"/>
      <w:outlineLvl w:val="2"/>
    </w:pPr>
    <w:rPr>
      <w:rFonts w:eastAsia="宋体"/>
      <w:b/>
      <w:bCs/>
      <w:sz w:val="24"/>
      <w:szCs w:val="32"/>
    </w:rPr>
  </w:style>
  <w:style w:type="character" w:default="1" w:styleId="8">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afterLines="0" w:afterAutospacing="0"/>
    </w:pPr>
  </w:style>
  <w:style w:type="paragraph" w:styleId="6">
    <w:name w:val="Plain Text"/>
    <w:basedOn w:val="1"/>
    <w:unhideWhenUsed/>
    <w:qFormat/>
    <w:uiPriority w:val="0"/>
    <w:rPr>
      <w:rFonts w:ascii="宋体" w:hAnsi="Courier New" w:cs="宋体"/>
      <w:sz w:val="20"/>
      <w:szCs w:val="20"/>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0">
    <w:name w:val="样式1"/>
    <w:basedOn w:val="1"/>
    <w:uiPriority w:val="0"/>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2022-03-21T02:24:00Z</dcterms:created>
  <dc:creator>联想不响</dc:creator>
  <cp:lastModifiedBy>联想不响</cp:lastModifiedBy>
  <dcterms:modified xsi:type="dcterms:W3CDTF">2022-03-21T02:25:06Z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